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line="57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深化新时代教育评价改革“十不得一严禁”</w:t>
      </w:r>
    </w:p>
    <w:p>
      <w:pPr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负面清单</w:t>
      </w:r>
    </w:p>
    <w:bookmarkEnd w:id="0"/>
    <w:p>
      <w:pPr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1.不得下达升学指标或以中高考升学率考核下一级党委和政府、教育部门、学校和教师。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2.不得将升学率与学校工程项目、经费分配、评优评先等挂钩。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3.不得通过任何形式以中高考成绩为标准奖励教师和学生。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4.严禁公布、宣传、炒作中高考“状元”和升学率。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5.规范高校教师聘用和职称评聘条件设置，不得将国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外学习经历作为限制性条件。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6.突出质量导向，重点评价学术贡献、社会贡献以及支撑人才培养情况，不得将论文数、项目数、课题经费等科研量化指标与绩效工资分配、奖励挂钩。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7.不得把人才称号作为承担科研项目、职称评聘、评优评奖、学位点申报的限制性条件。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8.有关申报书不得设置填写人才称号栏目。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9.依据实际贡献合理确定人才薪酬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不得将人才称号与物质利益简单挂钩。</w:t>
      </w:r>
    </w:p>
    <w:p>
      <w:pPr>
        <w:spacing w:line="570" w:lineRule="exact"/>
        <w:ind w:left="638" w:leftChars="304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10.各级各类学校不得通过设置奖金等方式违规争抢生源。</w:t>
      </w:r>
    </w:p>
    <w:p>
      <w:pPr>
        <w:ind w:firstLine="640" w:firstLineChars="200"/>
      </w:pPr>
      <w:r>
        <w:rPr>
          <w:rFonts w:hint="default" w:ascii="Times New Roman" w:hAnsi="Times New Roman" w:eastAsia="仿宋_GB2312" w:cs="Times New Roman"/>
          <w:sz w:val="32"/>
          <w:szCs w:val="32"/>
        </w:rPr>
        <w:t>11.在招聘公告和实际操作中不得将毕业院校、国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外学习经历、学习方式作为限制性条件。</w:t>
      </w: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ZTU5ZjZjM2VlZDIwZTYyZmU0M2VmMGYyY2FjZjcifQ=="/>
  </w:docVars>
  <w:rsids>
    <w:rsidRoot w:val="5E046B18"/>
    <w:rsid w:val="0F0F2A86"/>
    <w:rsid w:val="5E04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2023-06-07T09:49:00Z</dcterms:created>
  <dc:creator>charlotte洁</dc:creator>
  <cp:lastModifiedBy>charlotte洁</cp:lastModifiedBy>
  <dcterms:modified xsi:type="dcterms:W3CDTF">2023-06-07T09:50:10Z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2312664BA7534391BD74F12C1A1DC426_11</vt:lpwstr>
  </property>
</Properties>
</file>