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BD2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《湛江市智慧口岸建设方案》政策解读</w:t>
      </w:r>
    </w:p>
    <w:p w14:paraId="40842BB5"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</w:p>
    <w:p w14:paraId="1C839D6C">
      <w:pPr>
        <w:keepNext w:val="0"/>
        <w:keepLines w:val="0"/>
        <w:widowControl w:val="0"/>
        <w:suppressLineNumbers w:val="0"/>
        <w:wordWrap w:val="0"/>
        <w:overflowPunct w:val="0"/>
        <w:autoSpaceDE w:val="0"/>
        <w:autoSpaceDN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" w:bidi="ar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  <w:t>为全面贯彻落实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" w:bidi="ar"/>
        </w:rPr>
        <w:t>国家和省口岸办关于推进智慧口岸建设的具体部署要求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  <w:t>，立足湛江口岸实际，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" w:bidi="ar"/>
        </w:rPr>
        <w:t>聚焦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  <w:t>口岸数字化转型和智能化升级，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" w:bidi="ar"/>
        </w:rPr>
        <w:t>打造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  <w:t>国际高水平开放门户，实现高质量发展，制定《湛江市智慧口岸建设方案》，经市政府同意印发实施。现将建设方案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" w:bidi="ar"/>
        </w:rPr>
        <w:t>有关内容解读如下：</w:t>
      </w:r>
    </w:p>
    <w:p w14:paraId="6E099B4F">
      <w:pPr>
        <w:pStyle w:val="2"/>
        <w:numPr>
          <w:ilvl w:val="0"/>
          <w:numId w:val="1"/>
        </w:numPr>
        <w:ind w:left="0" w:leftChars="0" w:firstLine="643" w:firstLineChars="200"/>
        <w:outlineLvl w:val="0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"/>
        </w:rPr>
        <w:t>指导思想与总体方向</w:t>
      </w:r>
      <w:bookmarkStart w:id="0" w:name="_GoBack"/>
      <w:bookmarkEnd w:id="0"/>
    </w:p>
    <w:p w14:paraId="3ED12B5A">
      <w:pPr>
        <w:numPr>
          <w:ilvl w:val="0"/>
          <w:numId w:val="0"/>
        </w:numP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  <w:t>以习近平新时代中国特色社会主义思想为指导，积极响应省委省政府发展战略，强化科技创新驱动作用，推动数字经济融合发展，构建现代化口岸运行新形态。</w:t>
      </w:r>
    </w:p>
    <w:p w14:paraId="121BCBD7">
      <w:pPr>
        <w:numPr>
          <w:ilvl w:val="0"/>
          <w:numId w:val="1"/>
        </w:numPr>
        <w:ind w:left="0" w:leftChars="0" w:firstLine="643" w:firstLineChars="200"/>
        <w:jc w:val="left"/>
        <w:outlineLvl w:val="0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"/>
        </w:rPr>
        <w:t>建设目标与远景规划（2025–2030年）</w:t>
      </w:r>
    </w:p>
    <w:p w14:paraId="228A525B">
      <w:pPr>
        <w:pStyle w:val="2"/>
        <w:numPr>
          <w:ilvl w:val="0"/>
          <w:numId w:val="0"/>
        </w:numPr>
        <w:ind w:leftChars="200" w:firstLine="320" w:firstLineChars="1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  <w:t>打造具有本地特色的智慧口岸，实现设施设备智能化、</w:t>
      </w:r>
    </w:p>
    <w:p w14:paraId="74E6B459">
      <w:pPr>
        <w:pStyle w:val="2"/>
        <w:numPr>
          <w:ilvl w:val="0"/>
          <w:numId w:val="0"/>
        </w:numP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  <w:t>推行运行管理数字化、提升协同监管精准化水平、构建综合服务泛在化生态、建立区域合作机制化格局、牵引带动口岸经济整体转型。</w:t>
      </w:r>
    </w:p>
    <w:p w14:paraId="2911352E">
      <w:pPr>
        <w:numPr>
          <w:ilvl w:val="0"/>
          <w:numId w:val="1"/>
        </w:numPr>
        <w:ind w:left="0" w:leftChars="0" w:firstLine="643" w:firstLineChars="200"/>
        <w:jc w:val="left"/>
        <w:outlineLvl w:val="0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"/>
        </w:rPr>
        <w:t>六大核心建设任务</w:t>
      </w:r>
    </w:p>
    <w:p w14:paraId="416E84B5">
      <w:pPr>
        <w:numPr>
          <w:numId w:val="0"/>
        </w:numPr>
        <w:ind w:firstLine="643" w:firstLineChars="200"/>
        <w:jc w:val="left"/>
        <w:outlineLvl w:val="1"/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2"/>
          <w:sz w:val="32"/>
          <w:szCs w:val="32"/>
          <w:lang w:val="en-US" w:eastAsia="zh-CN" w:bidi="ar"/>
        </w:rPr>
        <w:t>1.夯实智慧口岸数字底座：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  <w:t>建立覆盖多领域的专题数据库，构建分级共享的数据资源池。</w:t>
      </w:r>
    </w:p>
    <w:p w14:paraId="2D9F33DC">
      <w:pPr>
        <w:numPr>
          <w:numId w:val="0"/>
        </w:numPr>
        <w:ind w:firstLine="643" w:firstLineChars="200"/>
        <w:jc w:val="left"/>
        <w:outlineLvl w:val="1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2"/>
          <w:sz w:val="32"/>
          <w:szCs w:val="32"/>
          <w:lang w:val="en-US" w:eastAsia="zh-CN" w:bidi="ar"/>
        </w:rPr>
        <w:t>2.提升口岸设施设备智能化水平：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  <w:t>升级改造智能闸口，</w:t>
      </w:r>
    </w:p>
    <w:p w14:paraId="59F591C2">
      <w:pPr>
        <w:pStyle w:val="2"/>
        <w:ind w:left="0" w:leftChars="0" w:firstLine="0" w:firstLineChars="0"/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  <w:t>升级码头作业区域系统软硬件，升级智能检验检疫设备，升级口岸运行基础设施。</w:t>
      </w:r>
    </w:p>
    <w:p w14:paraId="3A4C3C79">
      <w:pPr>
        <w:pStyle w:val="2"/>
        <w:ind w:left="0" w:leftChars="0" w:firstLine="641" w:firstLineChars="200"/>
        <w:rPr>
          <w:rFonts w:hint="eastAsia"/>
          <w:lang w:val="en-US" w:eastAsia="zh-CN"/>
        </w:rPr>
      </w:pPr>
      <w:r>
        <w:rPr>
          <w:rFonts w:hint="eastAsia" w:ascii="国标楷体" w:hAnsi="国标楷体" w:eastAsia="国标楷体" w:cs="国标楷体"/>
          <w:b/>
          <w:bCs/>
          <w:color w:val="auto"/>
          <w:kern w:val="2"/>
          <w:sz w:val="32"/>
          <w:szCs w:val="32"/>
          <w:lang w:val="en-US" w:eastAsia="zh-CN" w:bidi="ar"/>
        </w:rPr>
        <w:t>3.推动口岸运行管理数字化：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  <w:t>升级保税物流中心监管信息化辅助系统，提升湛江综保区一体化管理智慧化水平，结合先进技术优化港区通航质量。</w:t>
      </w:r>
    </w:p>
    <w:p w14:paraId="483B6166">
      <w:pPr>
        <w:pStyle w:val="2"/>
        <w:ind w:left="0" w:leftChars="0" w:firstLine="643" w:firstLineChars="200"/>
        <w:rPr>
          <w:rFonts w:hint="eastAsia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2"/>
          <w:sz w:val="32"/>
          <w:szCs w:val="32"/>
          <w:lang w:val="en-US" w:eastAsia="zh-CN" w:bidi="ar"/>
        </w:rPr>
        <w:t>4.促进协同监管精准化：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  <w:t>升级优化协同智控系统，创新完善监管新模式。</w:t>
      </w:r>
    </w:p>
    <w:p w14:paraId="757A5695">
      <w:pPr>
        <w:numPr>
          <w:numId w:val="0"/>
        </w:numPr>
        <w:ind w:firstLine="643" w:firstLineChars="200"/>
        <w:jc w:val="left"/>
        <w:outlineLvl w:val="1"/>
        <w:rPr>
          <w:rFonts w:hint="eastAsia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2"/>
          <w:sz w:val="32"/>
          <w:szCs w:val="32"/>
          <w:lang w:val="en-US" w:eastAsia="zh-CN" w:bidi="ar"/>
        </w:rPr>
        <w:t>5.构建综合服务泛在化体系：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  <w:t>建设湛江智慧口岸数字化管理平台，打造多元化物流服务。</w:t>
      </w:r>
    </w:p>
    <w:p w14:paraId="65A1FBEC">
      <w:pPr>
        <w:ind w:firstLine="643" w:firstLineChars="2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2"/>
          <w:sz w:val="32"/>
          <w:szCs w:val="32"/>
          <w:lang w:val="en-US" w:eastAsia="zh-CN" w:bidi="ar"/>
        </w:rPr>
        <w:t>6.推动区域合作机制化。</w:t>
      </w:r>
    </w:p>
    <w:p w14:paraId="50EB9BCD">
      <w:pPr>
        <w:numPr>
          <w:ilvl w:val="0"/>
          <w:numId w:val="1"/>
        </w:numPr>
        <w:ind w:left="0" w:leftChars="0" w:firstLine="643" w:firstLineChars="200"/>
        <w:jc w:val="left"/>
        <w:outlineLvl w:val="0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"/>
        </w:rPr>
        <w:t>建设主体</w:t>
      </w:r>
    </w:p>
    <w:p w14:paraId="1B1D3547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  <w:t>运营平台公司主导负责建设和运营公共服务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  <w:t>平台或项目，口岸联检单位负责本单位建设项目，口岸经营企业自主投资建设口岸智能化升级项目。</w:t>
      </w:r>
    </w:p>
    <w:p w14:paraId="2DFE7CCF">
      <w:pPr>
        <w:numPr>
          <w:ilvl w:val="0"/>
          <w:numId w:val="1"/>
        </w:numPr>
        <w:ind w:left="0" w:leftChars="0" w:firstLine="643" w:firstLineChars="200"/>
        <w:jc w:val="left"/>
        <w:outlineLvl w:val="0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"/>
        </w:rPr>
        <w:t>保障措施与组织实施</w:t>
      </w:r>
    </w:p>
    <w:p w14:paraId="34059F43">
      <w:pPr>
        <w:pStyle w:val="2"/>
        <w:ind w:left="0" w:leftChars="0" w:firstLine="640" w:firstLineChars="200"/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  <w:t>加强组织保障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"/>
        </w:rPr>
        <w:t>，完善决策协调机制强化项目动态管理；加强政策支持，坚持“共建共管共享共用”原则给予优先立项支持；加强要素保障，推进资金、人才、项目等资源要素向湛江智慧口岸建设倾斜。</w:t>
      </w:r>
    </w:p>
    <w:p w14:paraId="740AB4C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82871C"/>
    <w:multiLevelType w:val="singleLevel"/>
    <w:tmpl w:val="A88287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30989"/>
    <w:rsid w:val="00643BE3"/>
    <w:rsid w:val="072852DD"/>
    <w:rsid w:val="0C151CF6"/>
    <w:rsid w:val="1C530989"/>
    <w:rsid w:val="21B37034"/>
    <w:rsid w:val="226C1AC8"/>
    <w:rsid w:val="26DA2D00"/>
    <w:rsid w:val="2C032F7D"/>
    <w:rsid w:val="3DFB72A2"/>
    <w:rsid w:val="42EB664B"/>
    <w:rsid w:val="450B2698"/>
    <w:rsid w:val="4584231A"/>
    <w:rsid w:val="4C8F2234"/>
    <w:rsid w:val="58666731"/>
    <w:rsid w:val="60375176"/>
    <w:rsid w:val="6AAE0270"/>
    <w:rsid w:val="6DF546A6"/>
    <w:rsid w:val="6E3FC39D"/>
    <w:rsid w:val="6FCF07B7"/>
    <w:rsid w:val="72A27BE9"/>
    <w:rsid w:val="72FF93EF"/>
    <w:rsid w:val="736966E3"/>
    <w:rsid w:val="785247C1"/>
    <w:rsid w:val="7B373932"/>
    <w:rsid w:val="FEDFD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234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2025-11-06T19:45:00Z</dcterms:created>
  <dc:creator>涅</dc:creator>
  <cp:lastModifiedBy>符剑冰</cp:lastModifiedBy>
  <dcterms:modified xsi:type="dcterms:W3CDTF">2025-11-07T09:14:09Z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B189DB73ADF24849A19F5D9842BB37A3_13</vt:lpwstr>
  </property>
  <property fmtid="{D5CDD505-2E9C-101B-9397-08002B2CF9AE}" pid="4" name="KSOTemplateDocerSaveRecord">
    <vt:lpwstr>eyJoZGlkIjoiMmQ0YjE2ZDIxN2YxOTAxMjc4M2Y4MTQ4ZmM0NzRiZGUiLCJ1c2VySWQiOiI5MDkxMzMwNjcifQ==</vt:lpwstr>
  </property>
</Properties>
</file>