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关于吴川市黄坡镇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那罗村委会那罗村道路硬底化项目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关于吴川市黄坡镇那罗村委会那罗村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广东省吴川市黄坡镇那罗村那罗经济合作社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广东省吴川市黄坡镇那罗村那罗经济合作社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吴川市黄坡镇那罗村委会那罗村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103.41万元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建设道路硬底化道路长760米，路基宽 7-17米，路面宽 5-15 米，清理杂物 3747 平方米，回填 409立方米回填土方。路基面平整，厚15cm(12/15)6%水泥稳定碎石基层，厚 20cm(抗折≥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sz w:val="28"/>
                <w:szCs w:val="28"/>
                <w:lang w:val="en-US" w:eastAsia="zh-CN"/>
              </w:rPr>
              <w:t>5.0Mpa)水泥砼面层。</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6日至2023年4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585</Characters>
  <Lines>0</Lines>
  <Paragraphs>0</Paragraphs>
  <TotalTime>3</TotalTime>
  <ScaleCrop>false</ScaleCrop>
  <LinksUpToDate>false</LinksUpToDate>
  <CharactersWithSpaces>665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2023-04-01T07:01:00Z</cp:lastPrinted>
  <dcterms:modified xsi:type="dcterms:W3CDTF">2023-04-06T07:49:53Z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