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关于2022年湛江市吴川市长岐镇黎屋村委会下流滩村村道硬底化</w:t>
      </w:r>
    </w:p>
    <w:p>
      <w:pPr>
        <w:spacing w:line="580" w:lineRule="exact"/>
        <w:jc w:val="center"/>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关于2022年湛江市吴川市长岐镇黎屋村</w:t>
            </w:r>
          </w:p>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委会下流滩村村道硬底化项目立项审批前的公示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广东省吴川市长岐镇黎屋村下流滩经济合作社</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广东省吴川市长岐镇黎屋村下流滩经济合作社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80" w:lineRule="exact"/>
              <w:jc w:val="both"/>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吴川市长岐镇黎屋村委会下流滩村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20.39</w:t>
            </w:r>
            <w:r>
              <w:rPr>
                <w:rFonts w:hint="eastAsia" w:ascii="仿宋" w:hAnsi="仿宋" w:eastAsia="仿宋" w:cs="仿宋"/>
                <w:b w:val="0"/>
                <w:bCs w:val="0"/>
                <w:i w:val="0"/>
                <w:color w:val="333333"/>
                <w:sz w:val="28"/>
                <w:szCs w:val="28"/>
                <w:lang w:val="en-US" w:eastAsia="zh-CN"/>
              </w:rPr>
              <w:t>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
              </w:rPr>
              <w:t>建设混凝土硬底化主干长150 米、宽4米，支干长100米,宽3.5米、厚0.2米（包括路基填石粉平整，混凝土硬化）。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2023年3月10日至2023年3月17</w:t>
      </w:r>
      <w:bookmarkStart w:id="0" w:name="_GoBack"/>
      <w:bookmarkEnd w:id="0"/>
      <w:r>
        <w:rPr>
          <w:rFonts w:hint="eastAsia" w:ascii="仿宋" w:hAnsi="仿宋" w:eastAsia="仿宋" w:cs="仿宋"/>
          <w:b w:val="0"/>
          <w:bCs w:val="0"/>
          <w:i w:val="0"/>
          <w:caps w:val="0"/>
          <w:color w:val="333333"/>
          <w:spacing w:val="0"/>
          <w:kern w:val="0"/>
          <w:sz w:val="28"/>
          <w:szCs w:val="28"/>
          <w:lang w:val="en-US" w:eastAsia="zh-CN"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6777C3"/>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553</Words>
  <Characters>632</Characters>
  <Lines>0</Lines>
  <Paragraphs>0</Paragraphs>
  <TotalTime>6</TotalTime>
  <ScaleCrop>false</ScaleCrop>
  <LinksUpToDate>false</LinksUpToDate>
  <CharactersWithSpaces>717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2023-03-10T01:50:47Z</cp:lastPrinted>
  <dcterms:modified xsi:type="dcterms:W3CDTF">2023-03-10T01:50:48Z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