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C9" w:rsidRDefault="00F96317" w:rsidP="002D56C9">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2D56C9" w:rsidRPr="002D56C9">
        <w:rPr>
          <w:rFonts w:ascii="宋体" w:eastAsia="宋体" w:hAnsi="宋体" w:cs="宋体" w:hint="eastAsia"/>
          <w:b/>
          <w:bCs/>
          <w:sz w:val="44"/>
          <w:szCs w:val="44"/>
        </w:rPr>
        <w:t>2022年湛江市吴川市黄坡镇岭博村委会新定村建设铺设街砖</w:t>
      </w:r>
    </w:p>
    <w:p w:rsidR="003E639B" w:rsidRPr="00F96317" w:rsidRDefault="002D56C9" w:rsidP="002D56C9">
      <w:pPr>
        <w:spacing w:line="540" w:lineRule="exact"/>
        <w:jc w:val="center"/>
        <w:rPr>
          <w:rFonts w:ascii="宋体" w:eastAsia="宋体" w:hAnsi="宋体" w:cs="宋体"/>
          <w:b/>
          <w:bCs/>
          <w:sz w:val="44"/>
          <w:szCs w:val="44"/>
        </w:rPr>
      </w:pPr>
      <w:r w:rsidRPr="002D56C9">
        <w:rPr>
          <w:rFonts w:ascii="宋体" w:eastAsia="宋体" w:hAnsi="宋体" w:cs="宋体" w:hint="eastAsia"/>
          <w:b/>
          <w:bCs/>
          <w:sz w:val="44"/>
          <w:szCs w:val="44"/>
        </w:rPr>
        <w:t>和道路硬底化项目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2D56C9" w:rsidP="002D56C9">
            <w:pPr>
              <w:spacing w:line="540" w:lineRule="exact"/>
              <w:jc w:val="center"/>
              <w:rPr>
                <w:rFonts w:ascii="仿宋" w:eastAsia="仿宋" w:hAnsi="仿宋" w:cs="宋体"/>
                <w:bCs/>
                <w:sz w:val="28"/>
                <w:szCs w:val="28"/>
              </w:rPr>
            </w:pPr>
            <w:r w:rsidRPr="002D56C9">
              <w:rPr>
                <w:rFonts w:ascii="仿宋" w:eastAsia="仿宋" w:hAnsi="仿宋" w:cs="宋体" w:hint="eastAsia"/>
                <w:bCs/>
                <w:sz w:val="28"/>
                <w:szCs w:val="28"/>
              </w:rPr>
              <w:t>吴川市发展和改革局关于2022年湛江市吴川市黄坡镇岭博村委会新定村建设铺设街砖和道路硬底化项目立项审批前的公示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D56C9" w:rsidP="00620AF5">
            <w:pPr>
              <w:spacing w:line="540" w:lineRule="exact"/>
              <w:rPr>
                <w:rFonts w:ascii="仿宋" w:eastAsia="仿宋" w:hAnsi="仿宋" w:cs="宋体"/>
                <w:bCs/>
                <w:sz w:val="28"/>
                <w:szCs w:val="28"/>
              </w:rPr>
            </w:pPr>
            <w:r w:rsidRPr="002D56C9">
              <w:rPr>
                <w:rFonts w:ascii="仿宋" w:eastAsia="仿宋" w:hAnsi="仿宋" w:cs="宋体" w:hint="eastAsia"/>
                <w:bCs/>
                <w:sz w:val="28"/>
                <w:szCs w:val="28"/>
              </w:rPr>
              <w:t>吴川市黄坡镇岭博村民委员会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D56C9" w:rsidP="00620AF5">
            <w:pPr>
              <w:spacing w:line="540" w:lineRule="exact"/>
              <w:rPr>
                <w:rFonts w:ascii="仿宋" w:eastAsia="仿宋" w:hAnsi="仿宋" w:cs="宋体"/>
                <w:bCs/>
                <w:sz w:val="28"/>
                <w:szCs w:val="28"/>
              </w:rPr>
            </w:pPr>
            <w:r w:rsidRPr="002D56C9">
              <w:rPr>
                <w:rFonts w:ascii="仿宋" w:eastAsia="仿宋" w:hAnsi="仿宋" w:cs="宋体" w:hint="eastAsia"/>
                <w:bCs/>
                <w:sz w:val="28"/>
                <w:szCs w:val="28"/>
              </w:rPr>
              <w:t>吴川市黄坡镇岭博村民委员会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2D56C9" w:rsidP="00620AF5">
            <w:pPr>
              <w:spacing w:line="540" w:lineRule="exact"/>
              <w:rPr>
                <w:rFonts w:ascii="仿宋" w:eastAsia="仿宋" w:hAnsi="仿宋" w:cs="宋体"/>
                <w:bCs/>
                <w:sz w:val="28"/>
                <w:szCs w:val="28"/>
              </w:rPr>
            </w:pPr>
            <w:r w:rsidRPr="002D56C9">
              <w:rPr>
                <w:rFonts w:ascii="仿宋" w:eastAsia="仿宋" w:hAnsi="仿宋" w:cs="宋体" w:hint="eastAsia"/>
                <w:bCs/>
                <w:sz w:val="28"/>
                <w:szCs w:val="28"/>
              </w:rPr>
              <w:t>吴川市黄坡镇岭博村委会新定村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2D56C9"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220.86</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620AF5" w:rsidRDefault="002D56C9" w:rsidP="002D56C9">
            <w:pPr>
              <w:spacing w:line="400" w:lineRule="exact"/>
              <w:rPr>
                <w:rFonts w:ascii="仿宋" w:eastAsia="仿宋" w:hAnsi="仿宋" w:cs="仿宋"/>
                <w:sz w:val="28"/>
                <w:szCs w:val="28"/>
              </w:rPr>
            </w:pPr>
            <w:r w:rsidRPr="002D56C9">
              <w:rPr>
                <w:rFonts w:ascii="仿宋" w:eastAsia="仿宋" w:hAnsi="仿宋" w:cs="仿宋" w:hint="eastAsia"/>
                <w:sz w:val="28"/>
                <w:szCs w:val="28"/>
              </w:rPr>
              <w:t>人行道铺装(透水砖):3602.5 平方米，新建水泥路:464.29平方米，种植台湾草皮:387.5米，花岗岩路侧石</w:t>
            </w:r>
            <w:r>
              <w:rPr>
                <w:rFonts w:ascii="仿宋" w:eastAsia="仿宋" w:hAnsi="仿宋" w:cs="仿宋" w:hint="eastAsia"/>
                <w:sz w:val="28"/>
                <w:szCs w:val="28"/>
              </w:rPr>
              <w:t>:1485.87</w:t>
            </w:r>
            <w:r w:rsidRPr="002D56C9">
              <w:rPr>
                <w:rFonts w:ascii="仿宋" w:eastAsia="仿宋" w:hAnsi="仿宋" w:cs="仿宋" w:hint="eastAsia"/>
                <w:sz w:val="28"/>
                <w:szCs w:val="28"/>
              </w:rPr>
              <w:t>米，修复砼路面:157.2 平方米，花岗岩石板铺装:425.8平方米，新建排水渠及挡土墙:789.32米，1000*1000mm树池:48个，路基宽1</w:t>
            </w:r>
            <w:r>
              <w:rPr>
                <w:rFonts w:ascii="仿宋" w:eastAsia="仿宋" w:hAnsi="仿宋" w:cs="仿宋" w:hint="eastAsia"/>
                <w:sz w:val="28"/>
                <w:szCs w:val="28"/>
              </w:rPr>
              <w:t>～</w:t>
            </w:r>
            <w:r w:rsidRPr="002D56C9">
              <w:rPr>
                <w:rFonts w:ascii="仿宋" w:eastAsia="仿宋" w:hAnsi="仿宋" w:cs="仿宋" w:hint="eastAsia"/>
                <w:sz w:val="28"/>
                <w:szCs w:val="28"/>
              </w:rPr>
              <w:t>10米，路面宽1</w:t>
            </w:r>
            <w:r>
              <w:rPr>
                <w:rFonts w:ascii="仿宋" w:eastAsia="仿宋" w:hAnsi="仿宋" w:cs="仿宋" w:hint="eastAsia"/>
                <w:sz w:val="28"/>
                <w:szCs w:val="28"/>
              </w:rPr>
              <w:t>～</w:t>
            </w:r>
            <w:r w:rsidRPr="002D56C9">
              <w:rPr>
                <w:rFonts w:ascii="仿宋" w:eastAsia="仿宋" w:hAnsi="仿宋" w:cs="仿宋" w:hint="eastAsia"/>
                <w:sz w:val="28"/>
                <w:szCs w:val="28"/>
              </w:rPr>
              <w:t>10米，路基面平整，厚15cm石粉垫层，厚20(20/25)cm抗弯拉5.0MPa水泥砼面层。</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2022年11月1</w:t>
      </w:r>
      <w:r w:rsidR="00D9327F">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日至2022年11月</w:t>
      </w:r>
      <w:r w:rsidR="00D9327F">
        <w:rPr>
          <w:rFonts w:ascii="仿宋" w:eastAsia="仿宋" w:hAnsi="仿宋" w:cs="仿宋" w:hint="eastAsia"/>
          <w:color w:val="333333"/>
          <w:kern w:val="0"/>
          <w:sz w:val="28"/>
          <w:szCs w:val="28"/>
        </w:rPr>
        <w:t>25</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D9327F">
        <w:rPr>
          <w:rFonts w:ascii="仿宋" w:eastAsia="仿宋" w:hAnsi="仿宋" w:cs="仿宋" w:hint="eastAsia"/>
          <w:szCs w:val="28"/>
        </w:rPr>
        <w:t>7</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C02" w:rsidRDefault="00190C02" w:rsidP="00D9327F">
      <w:r>
        <w:separator/>
      </w:r>
    </w:p>
  </w:endnote>
  <w:endnote w:type="continuationSeparator" w:id="1">
    <w:p w:rsidR="00190C02" w:rsidRDefault="00190C02"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C02" w:rsidRDefault="00190C02" w:rsidP="00D9327F">
      <w:r>
        <w:separator/>
      </w:r>
    </w:p>
  </w:footnote>
  <w:footnote w:type="continuationSeparator" w:id="1">
    <w:p w:rsidR="00190C02" w:rsidRDefault="00190C02"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841A6"/>
    <w:rsid w:val="00190C02"/>
    <w:rsid w:val="00236A3F"/>
    <w:rsid w:val="002D56C9"/>
    <w:rsid w:val="0030512D"/>
    <w:rsid w:val="003E639B"/>
    <w:rsid w:val="004A16F2"/>
    <w:rsid w:val="005069F2"/>
    <w:rsid w:val="005D1261"/>
    <w:rsid w:val="005F55BF"/>
    <w:rsid w:val="00620AF5"/>
    <w:rsid w:val="006C589D"/>
    <w:rsid w:val="006F4E91"/>
    <w:rsid w:val="007A51F7"/>
    <w:rsid w:val="008422CE"/>
    <w:rsid w:val="00844644"/>
    <w:rsid w:val="00892D6B"/>
    <w:rsid w:val="00901AC3"/>
    <w:rsid w:val="00921B34"/>
    <w:rsid w:val="0092770A"/>
    <w:rsid w:val="00960AC9"/>
    <w:rsid w:val="009A734E"/>
    <w:rsid w:val="00A5339E"/>
    <w:rsid w:val="00AC5743"/>
    <w:rsid w:val="00B64CEB"/>
    <w:rsid w:val="00C126D3"/>
    <w:rsid w:val="00C4582B"/>
    <w:rsid w:val="00CC3264"/>
    <w:rsid w:val="00CE5039"/>
    <w:rsid w:val="00D9327F"/>
    <w:rsid w:val="00DA5779"/>
    <w:rsid w:val="00E076D5"/>
    <w:rsid w:val="00E76E61"/>
    <w:rsid w:val="00EE138A"/>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22</cp:revision>
  <cp:lastPrinted>2022-11-08T09:58:00Z</cp:lastPrinted>
  <dcterms:created xsi:type="dcterms:W3CDTF">2019-04-02T09:01:00Z</dcterms:created>
  <dcterms:modified xsi:type="dcterms:W3CDTF">2022-11-17T12:31:00Z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