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ind w:left="4860" w:hanging="4860" w:hangingChars="90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在公路建筑控制区内埋设管道、电缆等设施审批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 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  <w:bookmarkStart w:id="0" w:name="_GoBack"/>
      <w:bookmarkEnd w:id="0"/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default" w:eastAsia="Microsoft YaHei UI"/>
          <w:b/>
          <w:sz w:val="25"/>
          <w:lang w:val="en-US" w:eastAsia="zh-CN"/>
        </w:rPr>
      </w:pPr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b/>
          <w:color w:val="0C1B27"/>
          <w:sz w:val="25"/>
          <w:lang w:val="en-US" w:eastAsia="zh-CN"/>
        </w:rPr>
        <w:t>一、</w:t>
      </w:r>
      <w:r>
        <w:rPr>
          <w:b/>
          <w:color w:val="0C1B27"/>
          <w:sz w:val="25"/>
        </w:rPr>
        <w:t>受理</w:t>
      </w:r>
      <w:r>
        <w:rPr>
          <w:rFonts w:hint="eastAsia"/>
          <w:b/>
          <w:color w:val="0C1B27"/>
          <w:sz w:val="25"/>
          <w:lang w:val="en-US" w:eastAsia="zh-CN"/>
        </w:rPr>
        <w:t>条件</w:t>
      </w:r>
    </w:p>
    <w:p>
      <w:pPr>
        <w:pStyle w:val="6"/>
        <w:spacing w:before="6"/>
        <w:rPr>
          <w:b/>
          <w:sz w:val="5"/>
        </w:rPr>
      </w:pPr>
    </w:p>
    <w:p>
      <w:pPr>
        <w:pStyle w:val="6"/>
        <w:spacing w:before="4"/>
        <w:rPr>
          <w:b/>
          <w:sz w:val="11"/>
        </w:rPr>
      </w:pPr>
    </w:p>
    <w:p>
      <w:pPr>
        <w:pStyle w:val="2"/>
        <w:numPr>
          <w:ilvl w:val="0"/>
          <w:numId w:val="0"/>
        </w:numPr>
        <w:ind w:right="0" w:rightChars="0"/>
        <w:rPr>
          <w:b w:val="0"/>
          <w:bCs w:val="0"/>
          <w:color w:val="0C1B27"/>
          <w:w w:val="95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符合以下全部条件可以提出申请：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1、许可事项符合路政管理法律、法规、规章和规范性文件的规定； 2、符合《公路工程技术标准》和设计规范； 3、道口设计应当经公路技术专家进行技术评审；4、许可事项直接涉及利害关系人重大利益关系的，已征求了利害关系人的意见或已组织了听证。</w:t>
      </w:r>
    </w:p>
    <w:p>
      <w:pPr>
        <w:pStyle w:val="2"/>
        <w:numPr>
          <w:ilvl w:val="0"/>
          <w:numId w:val="1"/>
        </w:numPr>
        <w:rPr>
          <w:color w:val="0C1B27"/>
          <w:w w:val="95"/>
        </w:rPr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color w:val="0C1B27"/>
          <w:w w:val="95"/>
        </w:rPr>
        <w:t>设</w:t>
      </w:r>
      <w:r>
        <w:rPr>
          <w:rFonts w:hint="eastAsia"/>
          <w:color w:val="0C1B27"/>
          <w:w w:val="95"/>
          <w:lang w:val="en-US" w:eastAsia="zh-CN"/>
        </w:rPr>
        <w:t>立</w:t>
      </w:r>
      <w:r>
        <w:rPr>
          <w:color w:val="0C1B27"/>
          <w:w w:val="95"/>
        </w:rPr>
        <w:t>依据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"http://www.gd.gov.cn/zwgk/wjk/zcfgk/content/post_2520716.html"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《中华人民共和国公路法》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第四十四、四十五、五十四、五十五、五十六条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"http://www.gd.gov.cn/zwgk/wjk/zcfgk/content/post_2711515.html"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《广东省人民政府2012年行政审批制度改革事项目录（第一批）》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第三类第38项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"http://www.gd.gov.cn/zwgk/wjk/zcfgk/content/post_2931985.html"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广东省人民政府关于调整实施一批省级权责清单事项的决定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第二类下放事项清单第7、9、10、12、13、14、15项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"http://www.gd.gov.cn/zwgk/wjk/zcfgk/content/post_2521186.html"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t>《广东省公路条例》（2014年修正）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4293F4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第十五、二十一条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</w:p>
    <w:p>
      <w:pPr>
        <w:pStyle w:val="2"/>
        <w:numPr>
          <w:ilvl w:val="0"/>
          <w:numId w:val="3"/>
        </w:numPr>
        <w:rPr>
          <w:color w:val="0C1B27"/>
        </w:rPr>
      </w:pPr>
      <w:r>
        <w:pict>
          <v:line id="_x0000_s1062" o:spid="_x0000_s1062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 路政许可申请表 原件：1 复印件：0 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 申请人身份证明  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 变更路政许可申请书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 符合技术标准、规范要求的设计方案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 延续路政许可申请书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 符合技术标准、规范要求的施工方案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 安全技术评价报告以及评价单位资质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 处置施工险情和意外事故的应急方案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 路段辖区公安机关交通管理部门意见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复印件：0 </w:t>
      </w:r>
    </w:p>
    <w:p>
      <w:pPr>
        <w:spacing w:before="38"/>
        <w:ind w:left="151" w:right="0" w:firstLine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10 授权委托书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0"/>
        <w:ind w:right="0"/>
        <w:jc w:val="left"/>
        <w:rPr>
          <w:rFonts w:hint="default" w:eastAsia="Microsoft YaHei UI"/>
          <w:b/>
          <w:sz w:val="25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b/>
          <w:color w:val="0C1B27"/>
          <w:sz w:val="25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法定办结时限20日（工作日）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承诺办结时限1日（工作日）</w:t>
      </w:r>
    </w:p>
    <w:p>
      <w:pPr>
        <w:pStyle w:val="2"/>
        <w:rPr>
          <w:color w:val="0C1B27"/>
        </w:rPr>
      </w:pPr>
    </w:p>
    <w:p>
      <w:pPr>
        <w:pStyle w:val="2"/>
        <w:ind w:left="0" w:leftChars="0" w:firstLine="0" w:firstLineChars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color w:val="0C1B27"/>
          <w:lang w:val="en-US" w:eastAsia="zh-CN"/>
        </w:rPr>
        <w:t>、</w:t>
      </w:r>
      <w:r>
        <w:rPr>
          <w:color w:val="0C1B27"/>
        </w:rPr>
        <w:t>许可收费</w:t>
      </w:r>
    </w:p>
    <w:p>
      <w:pPr>
        <w:pStyle w:val="6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color w:val="0C1B27"/>
          <w:lang w:val="en-US" w:eastAsia="zh-CN"/>
        </w:rPr>
        <w:t>、</w:t>
      </w:r>
      <w:r>
        <w:rPr>
          <w:color w:val="0C1B27"/>
        </w:rPr>
        <w:t>许可</w:t>
      </w:r>
      <w:r>
        <w:rPr>
          <w:rFonts w:hint="eastAsia"/>
          <w:color w:val="0C1B27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color w:val="0C1B27"/>
          <w:lang w:val="en-US" w:eastAsia="zh-CN"/>
        </w:rPr>
        <w:t>、</w:t>
      </w:r>
      <w:r>
        <w:rPr>
          <w:rFonts w:hint="eastAsia"/>
          <w:color w:val="0C1B27"/>
          <w:lang w:eastAsia="zh-CN"/>
        </w:rPr>
        <w:t>办理地址</w:t>
      </w:r>
    </w:p>
    <w:p>
      <w:pPr>
        <w:pStyle w:val="6"/>
        <w:spacing w:before="46" w:line="278" w:lineRule="auto"/>
        <w:ind w:left="151" w:right="4319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color w:val="0C1B27"/>
          <w:lang w:val="en-US" w:eastAsia="zh-CN"/>
        </w:rPr>
        <w:t>、</w:t>
      </w:r>
      <w:r>
        <w:rPr>
          <w:rFonts w:hint="eastAsia"/>
          <w:color w:val="0C1B27"/>
          <w:lang w:eastAsia="zh-CN"/>
        </w:rPr>
        <w:t>网上办理网址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http://www.gdzwfw.gov.cn/portal/branch-hall?orgCode=007104873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6"/>
        <w:spacing w:before="170"/>
        <w:ind w:left="151"/>
        <w:rPr>
          <w:rFonts w:hint="default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67C0D2"/>
    <w:multiLevelType w:val="singleLevel"/>
    <w:tmpl w:val="F967C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5902E9E"/>
    <w:rsid w:val="05FB4F08"/>
    <w:rsid w:val="06373733"/>
    <w:rsid w:val="08B80AD5"/>
    <w:rsid w:val="0D033D24"/>
    <w:rsid w:val="0DC64FCD"/>
    <w:rsid w:val="0EEA11E0"/>
    <w:rsid w:val="10D522E8"/>
    <w:rsid w:val="127272D8"/>
    <w:rsid w:val="13CE38C5"/>
    <w:rsid w:val="166B74C7"/>
    <w:rsid w:val="16D51BCF"/>
    <w:rsid w:val="1CB059CB"/>
    <w:rsid w:val="1E913607"/>
    <w:rsid w:val="23715583"/>
    <w:rsid w:val="256D70A5"/>
    <w:rsid w:val="27CE6EE7"/>
    <w:rsid w:val="295C4098"/>
    <w:rsid w:val="2C160541"/>
    <w:rsid w:val="2E3B5A34"/>
    <w:rsid w:val="2EC86B89"/>
    <w:rsid w:val="345713AB"/>
    <w:rsid w:val="35146FDD"/>
    <w:rsid w:val="351E415C"/>
    <w:rsid w:val="39554EBB"/>
    <w:rsid w:val="3AFF3CE2"/>
    <w:rsid w:val="3C022830"/>
    <w:rsid w:val="3CE36829"/>
    <w:rsid w:val="40651B3E"/>
    <w:rsid w:val="40DF4D9F"/>
    <w:rsid w:val="43D724E4"/>
    <w:rsid w:val="479D1FDB"/>
    <w:rsid w:val="4B0A051F"/>
    <w:rsid w:val="4B4D1436"/>
    <w:rsid w:val="4CFE448E"/>
    <w:rsid w:val="4F1B43DA"/>
    <w:rsid w:val="514B6380"/>
    <w:rsid w:val="52390962"/>
    <w:rsid w:val="53F67D37"/>
    <w:rsid w:val="54B75E85"/>
    <w:rsid w:val="58F71A2A"/>
    <w:rsid w:val="59376335"/>
    <w:rsid w:val="5BB069B6"/>
    <w:rsid w:val="5BE20A17"/>
    <w:rsid w:val="5DB45FDC"/>
    <w:rsid w:val="62184253"/>
    <w:rsid w:val="64135942"/>
    <w:rsid w:val="655D51A0"/>
    <w:rsid w:val="6BD62C2E"/>
    <w:rsid w:val="6FEF2A70"/>
    <w:rsid w:val="74B14AF2"/>
    <w:rsid w:val="7CD64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rPr>
      <w:lang w:val="en-US" w:eastAsia="en-US" w:bidi="en-US"/>
    </w:rPr>
  </w:style>
  <w:style w:type="paragraph" w:customStyle="1" w:styleId="14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62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2021-08-31T09:31:48Z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