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bidi w:val="0"/>
        <w:jc w:val="center"/>
        <w:rPr>
          <w:rFonts w:hint="eastAsia"/>
          <w:sz w:val="52"/>
          <w:szCs w:val="52"/>
          <w:lang w:val="en-US" w:eastAsia="zh-CN"/>
        </w:rPr>
      </w:pPr>
      <w:r>
        <w:rPr>
          <w:rFonts w:ascii="Helvetica" w:hAnsi="Helvetica" w:eastAsia="Helvetica" w:cs="Helvetica"/>
          <w:i w:val="0"/>
          <w:iCs w:val="0"/>
          <w:caps w:val="0"/>
          <w:color w:val="000000"/>
          <w:spacing w:val="0"/>
          <w:sz w:val="54"/>
          <w:szCs w:val="54"/>
          <w:shd w:val="clear" w:fill="FFFFFF"/>
        </w:rPr>
        <w:t>水运工程施工图设计审批</w:t>
      </w:r>
    </w:p>
    <w:p>
      <w:pPr>
        <w:bidi w:val="0"/>
        <w:jc w:val="center"/>
        <w:rPr>
          <w:rFonts w:hint="default"/>
          <w:sz w:val="52"/>
          <w:szCs w:val="52"/>
          <w:lang w:val="en-US" w:eastAsia="zh-CN"/>
        </w:rPr>
      </w:pPr>
    </w:p>
    <w:p>
      <w:pPr>
        <w:bidi w:val="0"/>
        <w:jc w:val="both"/>
        <w:rPr>
          <w:rFonts w:hint="eastAsia"/>
          <w:sz w:val="52"/>
          <w:szCs w:val="52"/>
          <w:lang w:val="en-US" w:eastAsia="zh-CN"/>
        </w:rPr>
      </w:pPr>
      <w:r>
        <w:rPr>
          <w:rFonts w:hint="eastAsia"/>
          <w:sz w:val="52"/>
          <w:szCs w:val="52"/>
          <w:lang w:val="en-US" w:eastAsia="zh-CN"/>
        </w:rPr>
        <w:t xml:space="preserve">                   办</w:t>
      </w:r>
    </w:p>
    <w:p>
      <w:pPr>
        <w:bidi w:val="0"/>
        <w:jc w:val="both"/>
        <w:rPr>
          <w:rFonts w:hint="eastAsia"/>
          <w:sz w:val="52"/>
          <w:szCs w:val="52"/>
          <w:lang w:val="en-US" w:eastAsia="zh-CN"/>
        </w:rPr>
      </w:pPr>
      <w:r>
        <w:rPr>
          <w:rFonts w:hint="eastAsia"/>
          <w:sz w:val="52"/>
          <w:szCs w:val="52"/>
          <w:lang w:val="en-US" w:eastAsia="zh-CN"/>
        </w:rPr>
        <w:t xml:space="preserve">                   事</w:t>
      </w:r>
    </w:p>
    <w:p>
      <w:pPr>
        <w:bidi w:val="0"/>
        <w:jc w:val="both"/>
        <w:rPr>
          <w:rFonts w:hint="eastAsia"/>
          <w:sz w:val="52"/>
          <w:szCs w:val="52"/>
          <w:lang w:val="en-US" w:eastAsia="zh-CN"/>
        </w:rPr>
      </w:pPr>
      <w:r>
        <w:rPr>
          <w:rFonts w:hint="eastAsia"/>
          <w:sz w:val="52"/>
          <w:szCs w:val="52"/>
          <w:lang w:val="en-US" w:eastAsia="zh-CN"/>
        </w:rPr>
        <w:t xml:space="preserve">                   指</w:t>
      </w:r>
    </w:p>
    <w:p>
      <w:pPr>
        <w:bidi w:val="0"/>
        <w:jc w:val="both"/>
        <w:rPr>
          <w:rFonts w:hint="eastAsia"/>
          <w:sz w:val="52"/>
          <w:szCs w:val="52"/>
          <w:lang w:val="en-US" w:eastAsia="zh-CN"/>
        </w:rPr>
      </w:pPr>
      <w:r>
        <w:rPr>
          <w:rFonts w:hint="eastAsia"/>
          <w:sz w:val="52"/>
          <w:szCs w:val="52"/>
          <w:lang w:val="en-US" w:eastAsia="zh-CN"/>
        </w:rPr>
        <w:t xml:space="preserve">                   南</w:t>
      </w: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0"/>
        <w:ind w:right="0" w:firstLine="4267" w:firstLineChars="1700"/>
        <w:jc w:val="both"/>
        <w:rPr>
          <w:rFonts w:hint="default"/>
          <w:b/>
          <w:color w:val="0C1B27"/>
          <w:sz w:val="25"/>
          <w:lang w:val="en-US" w:eastAsia="zh-CN"/>
        </w:rPr>
      </w:pPr>
      <w:r>
        <w:rPr>
          <w:rFonts w:hint="eastAsia"/>
          <w:b/>
          <w:color w:val="0C1B27"/>
          <w:sz w:val="25"/>
          <w:lang w:val="en-US" w:eastAsia="zh-CN"/>
        </w:rPr>
        <w:t>吴川市交通运输局    编印</w:t>
      </w:r>
    </w:p>
    <w:p>
      <w:pPr>
        <w:spacing w:before="0"/>
        <w:ind w:right="0"/>
        <w:jc w:val="center"/>
        <w:rPr>
          <w:rFonts w:hint="eastAsia"/>
          <w:b/>
          <w:color w:val="0C1B27"/>
          <w:sz w:val="25"/>
          <w:lang w:val="en-US" w:eastAsia="zh-CN"/>
        </w:rPr>
      </w:pPr>
    </w:p>
    <w:p>
      <w:pPr>
        <w:spacing w:before="38"/>
        <w:ind w:left="151" w:right="0" w:firstLine="0"/>
        <w:jc w:val="center"/>
        <w:rPr>
          <w:rFonts w:hint="default"/>
          <w:lang w:val="en-US" w:eastAsia="zh-CN"/>
        </w:rPr>
      </w:pPr>
      <w:r>
        <w:rPr>
          <w:rFonts w:hint="eastAsia"/>
          <w:lang w:val="en-US" w:eastAsia="zh-CN"/>
        </w:rPr>
        <w:t>2021年8月</w:t>
      </w: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default" w:eastAsia="Microsoft YaHei UI"/>
          <w:b/>
          <w:sz w:val="25"/>
          <w:lang w:val="en-US" w:eastAsia="zh-CN"/>
        </w:rPr>
      </w:pPr>
      <w:r>
        <w:pict>
          <v:line id="_x0000_s1056" o:spid="_x0000_s1056" o:spt="20" style="position:absolute;left:0pt;margin-left:35.55pt;margin-top:24.45pt;height:0pt;width:523.55pt;mso-position-horizontal-relative:page;mso-wrap-distance-bottom:0pt;mso-wrap-distance-top:0pt;z-index:-251657216;mso-width-relative:page;mso-height-relative:page;" stroked="t" coordsize="21600,21600">
            <v:path arrowok="t"/>
            <v:fill focussize="0,0"/>
            <v:stroke weight="1.77472440944882pt" color="#0C1B27"/>
            <v:imagedata o:title=""/>
            <o:lock v:ext="edit"/>
            <w10:wrap type="topAndBottom"/>
          </v:line>
        </w:pict>
      </w:r>
      <w:r>
        <w:rPr>
          <w:rFonts w:hint="eastAsia"/>
          <w:b/>
          <w:color w:val="0C1B27"/>
          <w:sz w:val="25"/>
          <w:lang w:val="en-US" w:eastAsia="zh-CN"/>
        </w:rPr>
        <w:t>一、</w:t>
      </w:r>
      <w:r>
        <w:rPr>
          <w:b/>
          <w:color w:val="0C1B27"/>
          <w:sz w:val="25"/>
        </w:rPr>
        <w:t>受理</w:t>
      </w:r>
      <w:r>
        <w:rPr>
          <w:rFonts w:hint="eastAsia"/>
          <w:b/>
          <w:color w:val="0C1B27"/>
          <w:sz w:val="25"/>
          <w:lang w:val="en-US" w:eastAsia="zh-CN"/>
        </w:rPr>
        <w:t>条件</w:t>
      </w:r>
    </w:p>
    <w:p>
      <w:pPr>
        <w:pStyle w:val="6"/>
        <w:spacing w:before="6"/>
        <w:rPr>
          <w:b/>
          <w:sz w:val="5"/>
        </w:rPr>
      </w:pPr>
    </w:p>
    <w:p>
      <w:pPr>
        <w:pStyle w:val="6"/>
        <w:spacing w:before="4"/>
        <w:rPr>
          <w:b/>
          <w:sz w:val="11"/>
        </w:rPr>
      </w:pPr>
    </w:p>
    <w:p>
      <w:pPr>
        <w:spacing w:before="38"/>
        <w:ind w:left="151" w:right="0" w:firstLine="0"/>
        <w:jc w:val="left"/>
        <w:rPr>
          <w:rFonts w:hint="default" w:ascii="Helvetica" w:hAnsi="Helvetica" w:eastAsia="Helvetica" w:cs="Helvetica"/>
          <w:i w:val="0"/>
          <w:iCs w:val="0"/>
          <w:caps w:val="0"/>
          <w:color w:val="000000"/>
          <w:spacing w:val="0"/>
          <w:sz w:val="24"/>
          <w:szCs w:val="24"/>
          <w:shd w:val="clear" w:fill="FFFFFF"/>
        </w:rPr>
      </w:pPr>
      <w:r>
        <w:rPr>
          <w:rFonts w:ascii="Helvetica" w:hAnsi="Helvetica" w:eastAsia="Helvetica" w:cs="Helvetica"/>
          <w:i w:val="0"/>
          <w:iCs w:val="0"/>
          <w:caps w:val="0"/>
          <w:color w:val="000000"/>
          <w:spacing w:val="0"/>
          <w:sz w:val="24"/>
          <w:szCs w:val="24"/>
          <w:shd w:val="clear" w:fill="FFFFFF"/>
        </w:rPr>
        <w:t>《港口工程建设管理规定》（交通运输部令2018年第42号）</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第十六条所在地港口行政管理部门负责港口工程建设项目施工图设计审批，对施工图设计文件中涉及公共利益、公众安全、工程建设强制性标准的内容进行审查。</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第十七条项目单位应当向所在地港口行政管理部门申请施工图设计审批，并提供以下材料：</w:t>
      </w:r>
    </w:p>
    <w:p>
      <w:pPr>
        <w:numPr>
          <w:ilvl w:val="0"/>
          <w:numId w:val="1"/>
        </w:numPr>
        <w:spacing w:before="38"/>
        <w:ind w:left="151" w:right="0" w:firstLine="0"/>
        <w:jc w:val="left"/>
        <w:rPr>
          <w:rFonts w:hint="default" w:ascii="Helvetica" w:hAnsi="Helvetica" w:eastAsia="Helvetica" w:cs="Helvetica"/>
          <w:i w:val="0"/>
          <w:iCs w:val="0"/>
          <w:caps w:val="0"/>
          <w:color w:val="000000"/>
          <w:spacing w:val="0"/>
          <w:sz w:val="24"/>
          <w:szCs w:val="24"/>
          <w:shd w:val="clear" w:fill="FFFFFF"/>
        </w:rPr>
      </w:pPr>
      <w:r>
        <w:rPr>
          <w:rFonts w:hint="default" w:ascii="Helvetica" w:hAnsi="Helvetica" w:eastAsia="Helvetica" w:cs="Helvetica"/>
          <w:i w:val="0"/>
          <w:iCs w:val="0"/>
          <w:caps w:val="0"/>
          <w:color w:val="000000"/>
          <w:spacing w:val="0"/>
          <w:sz w:val="24"/>
          <w:szCs w:val="24"/>
          <w:shd w:val="clear" w:fill="FFFFFF"/>
        </w:rPr>
        <w:t>申请文件；</w:t>
      </w:r>
    </w:p>
    <w:p>
      <w:pPr>
        <w:numPr>
          <w:ilvl w:val="0"/>
          <w:numId w:val="1"/>
        </w:numPr>
        <w:spacing w:before="38"/>
        <w:ind w:left="151" w:leftChars="0" w:right="0" w:rightChars="0" w:firstLine="0" w:firstLineChars="0"/>
        <w:jc w:val="left"/>
        <w:rPr>
          <w:rFonts w:hint="default" w:ascii="Helvetica" w:hAnsi="Helvetica" w:eastAsia="Helvetica" w:cs="Helvetica"/>
          <w:i w:val="0"/>
          <w:iCs w:val="0"/>
          <w:caps w:val="0"/>
          <w:color w:val="000000"/>
          <w:spacing w:val="0"/>
          <w:sz w:val="24"/>
          <w:szCs w:val="24"/>
          <w:shd w:val="clear" w:fill="FFFFFF"/>
        </w:rPr>
      </w:pPr>
      <w:r>
        <w:rPr>
          <w:rFonts w:hint="default" w:ascii="Helvetica" w:hAnsi="Helvetica" w:eastAsia="Helvetica" w:cs="Helvetica"/>
          <w:i w:val="0"/>
          <w:iCs w:val="0"/>
          <w:caps w:val="0"/>
          <w:color w:val="000000"/>
          <w:spacing w:val="0"/>
          <w:sz w:val="24"/>
          <w:szCs w:val="24"/>
          <w:shd w:val="clear" w:fill="FFFFFF"/>
        </w:rPr>
        <w:t>施工图设计文件；</w:t>
      </w:r>
    </w:p>
    <w:p>
      <w:pPr>
        <w:numPr>
          <w:ilvl w:val="0"/>
          <w:numId w:val="1"/>
        </w:numPr>
        <w:spacing w:before="38"/>
        <w:ind w:left="151" w:leftChars="0" w:right="0" w:rightChars="0" w:firstLine="0" w:firstLineChars="0"/>
        <w:jc w:val="left"/>
        <w:rPr>
          <w:rFonts w:hint="default" w:ascii="Helvetica" w:hAnsi="Helvetica" w:eastAsia="Helvetica" w:cs="Helvetica"/>
          <w:i w:val="0"/>
          <w:iCs w:val="0"/>
          <w:caps w:val="0"/>
          <w:color w:val="000000"/>
          <w:spacing w:val="0"/>
          <w:sz w:val="24"/>
          <w:szCs w:val="24"/>
          <w:shd w:val="clear" w:fill="FFFFFF"/>
        </w:rPr>
      </w:pPr>
      <w:r>
        <w:rPr>
          <w:rFonts w:hint="default" w:ascii="Helvetica" w:hAnsi="Helvetica" w:eastAsia="Helvetica" w:cs="Helvetica"/>
          <w:i w:val="0"/>
          <w:iCs w:val="0"/>
          <w:caps w:val="0"/>
          <w:color w:val="000000"/>
          <w:spacing w:val="0"/>
          <w:sz w:val="24"/>
          <w:szCs w:val="24"/>
          <w:shd w:val="clear" w:fill="FFFFFF"/>
        </w:rPr>
        <w:t>经批准的初步设计文件。</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施工图设计文件应当集中报批。对于工期长、涉及专业多的项目，可以分批报批。项目单位在首次申请施工图设计文件审批时，应当将分批安排报所在地港口行政管理部门。</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第七十五条本规定第十四条、第十七条、第三十六条、第四十八条要求提供的材料，可以是纸质文本或者电子文本。</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《航道建设管理规定》（交通运输部令2018年第44号）</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第二十二条编制航道建设项目施工图设计文件，应当符合以下基本要求：</w:t>
      </w:r>
    </w:p>
    <w:p>
      <w:pPr>
        <w:numPr>
          <w:ilvl w:val="0"/>
          <w:numId w:val="2"/>
        </w:numPr>
        <w:spacing w:before="38"/>
        <w:ind w:left="151" w:leftChars="0" w:right="0" w:rightChars="0"/>
        <w:jc w:val="left"/>
        <w:rPr>
          <w:rFonts w:hint="default" w:ascii="Helvetica" w:hAnsi="Helvetica" w:eastAsia="Helvetica" w:cs="Helvetica"/>
          <w:i w:val="0"/>
          <w:iCs w:val="0"/>
          <w:caps w:val="0"/>
          <w:color w:val="000000"/>
          <w:spacing w:val="0"/>
          <w:sz w:val="24"/>
          <w:szCs w:val="24"/>
          <w:shd w:val="clear" w:fill="FFFFFF"/>
        </w:rPr>
      </w:pPr>
      <w:r>
        <w:rPr>
          <w:rFonts w:hint="default" w:ascii="Helvetica" w:hAnsi="Helvetica" w:eastAsia="Helvetica" w:cs="Helvetica"/>
          <w:i w:val="0"/>
          <w:iCs w:val="0"/>
          <w:caps w:val="0"/>
          <w:color w:val="000000"/>
          <w:spacing w:val="0"/>
          <w:sz w:val="24"/>
          <w:szCs w:val="24"/>
          <w:shd w:val="clear" w:fill="FFFFFF"/>
        </w:rPr>
        <w:t>符合经批准的初步设计文件；</w:t>
      </w:r>
    </w:p>
    <w:p>
      <w:pPr>
        <w:numPr>
          <w:ilvl w:val="0"/>
          <w:numId w:val="2"/>
        </w:numPr>
        <w:spacing w:before="38"/>
        <w:ind w:left="151" w:leftChars="0" w:right="0" w:rightChars="0" w:firstLine="0" w:firstLineChars="0"/>
        <w:jc w:val="left"/>
        <w:rPr>
          <w:rFonts w:hint="default" w:ascii="Helvetica" w:hAnsi="Helvetica" w:eastAsia="Helvetica" w:cs="Helvetica"/>
          <w:i w:val="0"/>
          <w:iCs w:val="0"/>
          <w:caps w:val="0"/>
          <w:color w:val="000000"/>
          <w:spacing w:val="0"/>
          <w:sz w:val="24"/>
          <w:szCs w:val="24"/>
          <w:shd w:val="clear" w:fill="FFFFFF"/>
        </w:rPr>
      </w:pPr>
      <w:r>
        <w:rPr>
          <w:rFonts w:hint="default" w:ascii="Helvetica" w:hAnsi="Helvetica" w:eastAsia="Helvetica" w:cs="Helvetica"/>
          <w:i w:val="0"/>
          <w:iCs w:val="0"/>
          <w:caps w:val="0"/>
          <w:color w:val="000000"/>
          <w:spacing w:val="0"/>
          <w:sz w:val="24"/>
          <w:szCs w:val="24"/>
          <w:shd w:val="clear" w:fill="FFFFFF"/>
        </w:rPr>
        <w:t>符合国家和行业有关技术标准；</w:t>
      </w:r>
    </w:p>
    <w:p>
      <w:pPr>
        <w:numPr>
          <w:ilvl w:val="0"/>
          <w:numId w:val="2"/>
        </w:numPr>
        <w:spacing w:before="38"/>
        <w:ind w:left="151" w:leftChars="0" w:right="0" w:rightChars="0" w:firstLine="0" w:firstLineChars="0"/>
        <w:jc w:val="left"/>
        <w:rPr>
          <w:rFonts w:hint="default" w:ascii="Helvetica" w:hAnsi="Helvetica" w:eastAsia="Helvetica" w:cs="Helvetica"/>
          <w:i w:val="0"/>
          <w:iCs w:val="0"/>
          <w:caps w:val="0"/>
          <w:color w:val="000000"/>
          <w:spacing w:val="0"/>
          <w:sz w:val="24"/>
          <w:szCs w:val="24"/>
          <w:shd w:val="clear" w:fill="FFFFFF"/>
        </w:rPr>
      </w:pPr>
      <w:r>
        <w:rPr>
          <w:rFonts w:hint="default" w:ascii="Helvetica" w:hAnsi="Helvetica" w:eastAsia="Helvetica" w:cs="Helvetica"/>
          <w:i w:val="0"/>
          <w:iCs w:val="0"/>
          <w:caps w:val="0"/>
          <w:color w:val="000000"/>
          <w:spacing w:val="0"/>
          <w:sz w:val="24"/>
          <w:szCs w:val="24"/>
          <w:shd w:val="clear" w:fill="FFFFFF"/>
        </w:rPr>
        <w:t>符合编制有关水运工程施工图设计文件的深度要求；</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（四）施工图预算不得突破已批准的初步设计概算。</w:t>
      </w:r>
    </w:p>
    <w:p>
      <w:pPr>
        <w:numPr>
          <w:numId w:val="0"/>
        </w:numPr>
        <w:spacing w:before="38"/>
        <w:ind w:left="151" w:leftChars="0" w:right="0" w:rightChars="0"/>
        <w:jc w:val="left"/>
        <w:rPr>
          <w:rFonts w:hint="default" w:ascii="Helvetica" w:hAnsi="Helvetica" w:eastAsia="Helvetica" w:cs="Helvetica"/>
          <w:i w:val="0"/>
          <w:iCs w:val="0"/>
          <w:caps w:val="0"/>
          <w:color w:val="000000"/>
          <w:spacing w:val="0"/>
          <w:sz w:val="24"/>
          <w:szCs w:val="24"/>
          <w:shd w:val="clear" w:fill="FFFFFF"/>
        </w:rPr>
      </w:pPr>
      <w:r>
        <w:rPr>
          <w:rFonts w:hint="default" w:ascii="Helvetica" w:hAnsi="Helvetica" w:eastAsia="Helvetica" w:cs="Helvetica"/>
          <w:i w:val="0"/>
          <w:iCs w:val="0"/>
          <w:caps w:val="0"/>
          <w:color w:val="000000"/>
          <w:spacing w:val="0"/>
          <w:sz w:val="24"/>
          <w:szCs w:val="24"/>
          <w:shd w:val="clear" w:fill="FFFFFF"/>
        </w:rPr>
        <w:t xml:space="preserve"> 第二十三条申请航道建设项目施工图设计文件审批，应当提交以下材料：</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（一）行政许可申请书；</w:t>
      </w:r>
    </w:p>
    <w:p>
      <w:pPr>
        <w:numPr>
          <w:ilvl w:val="0"/>
          <w:numId w:val="3"/>
        </w:numPr>
        <w:spacing w:before="38"/>
        <w:ind w:left="151" w:leftChars="0" w:right="0" w:rightChars="0"/>
        <w:jc w:val="left"/>
        <w:rPr>
          <w:rFonts w:hint="default" w:ascii="Helvetica" w:hAnsi="Helvetica" w:eastAsia="Helvetica" w:cs="Helvetica"/>
          <w:i w:val="0"/>
          <w:iCs w:val="0"/>
          <w:caps w:val="0"/>
          <w:color w:val="000000"/>
          <w:spacing w:val="0"/>
          <w:sz w:val="24"/>
          <w:szCs w:val="24"/>
          <w:shd w:val="clear" w:fill="FFFFFF"/>
        </w:rPr>
      </w:pPr>
      <w:r>
        <w:rPr>
          <w:rFonts w:hint="default" w:ascii="Helvetica" w:hAnsi="Helvetica" w:eastAsia="Helvetica" w:cs="Helvetica"/>
          <w:i w:val="0"/>
          <w:iCs w:val="0"/>
          <w:caps w:val="0"/>
          <w:color w:val="000000"/>
          <w:spacing w:val="0"/>
          <w:sz w:val="24"/>
          <w:szCs w:val="24"/>
          <w:shd w:val="clear" w:fill="FFFFFF"/>
        </w:rPr>
        <w:t>施工图设计文件；</w:t>
      </w:r>
    </w:p>
    <w:p>
      <w:pPr>
        <w:numPr>
          <w:ilvl w:val="0"/>
          <w:numId w:val="3"/>
        </w:numPr>
        <w:spacing w:before="38"/>
        <w:ind w:left="151" w:leftChars="0" w:right="0" w:rightChars="0" w:firstLine="0" w:firstLineChars="0"/>
        <w:jc w:val="left"/>
        <w:rPr>
          <w:rFonts w:hint="default" w:ascii="Helvetica" w:hAnsi="Helvetica" w:eastAsia="Helvetica" w:cs="Helvetica"/>
          <w:i w:val="0"/>
          <w:iCs w:val="0"/>
          <w:caps w:val="0"/>
          <w:color w:val="000000"/>
          <w:spacing w:val="0"/>
          <w:sz w:val="24"/>
          <w:szCs w:val="24"/>
          <w:shd w:val="clear" w:fill="FFFFFF"/>
        </w:rPr>
      </w:pPr>
      <w:r>
        <w:rPr>
          <w:rFonts w:hint="default" w:ascii="Helvetica" w:hAnsi="Helvetica" w:eastAsia="Helvetica" w:cs="Helvetica"/>
          <w:i w:val="0"/>
          <w:iCs w:val="0"/>
          <w:caps w:val="0"/>
          <w:color w:val="000000"/>
          <w:spacing w:val="0"/>
          <w:sz w:val="24"/>
          <w:szCs w:val="24"/>
          <w:shd w:val="clear" w:fill="FFFFFF"/>
        </w:rPr>
        <w:t>经批准的初步设计文件；</w:t>
      </w:r>
    </w:p>
    <w:p>
      <w:pPr>
        <w:numPr>
          <w:numId w:val="0"/>
        </w:numPr>
        <w:spacing w:before="38"/>
        <w:ind w:left="151" w:leftChars="0" w:right="0" w:rightChars="0"/>
        <w:jc w:val="left"/>
        <w:rPr>
          <w:rFonts w:hint="eastAsia" w:ascii="Helvetica" w:hAnsi="Helvetica" w:eastAsia="Helvetica" w:cs="Helvetica"/>
          <w:i w:val="0"/>
          <w:caps w:val="0"/>
          <w:color w:val="000000"/>
          <w:spacing w:val="0"/>
          <w:sz w:val="22"/>
          <w:szCs w:val="22"/>
          <w:shd w:val="clear" w:fill="FFFFFF"/>
          <w:lang w:val="en-US" w:eastAsia="zh-CN"/>
        </w:rPr>
      </w:pPr>
      <w:bookmarkStart w:id="0" w:name="_GoBack"/>
      <w:bookmarkEnd w:id="0"/>
      <w:r>
        <w:rPr>
          <w:rFonts w:hint="default" w:ascii="Helvetica" w:hAnsi="Helvetica" w:eastAsia="Helvetica" w:cs="Helvetica"/>
          <w:i w:val="0"/>
          <w:iCs w:val="0"/>
          <w:caps w:val="0"/>
          <w:color w:val="000000"/>
          <w:spacing w:val="0"/>
          <w:sz w:val="24"/>
          <w:szCs w:val="24"/>
          <w:shd w:val="clear" w:fill="FFFFFF"/>
        </w:rPr>
        <w:t>（四）审批部门根据项目需要要求提供的其他材料。航道建设项目的施工图设计文件应当集中报审。对于工期长、涉及专业多、需分期实施的航道工程项目，可以分期报审。但一个单位工程的施工图设计必须一次报审。</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第六十条 本规定第十三条、第十五条、第十七条、第十九条、第二十三条、第二十七条要求提供的材料，可以是纸质文本或者电子文本。</w:t>
      </w:r>
    </w:p>
    <w:p>
      <w:pPr>
        <w:pStyle w:val="2"/>
        <w:numPr>
          <w:ilvl w:val="0"/>
          <w:numId w:val="4"/>
        </w:numPr>
        <w:rPr>
          <w:color w:val="0C1B27"/>
          <w:w w:val="95"/>
        </w:rPr>
      </w:pPr>
      <w:r>
        <w:pict>
          <v:line id="_x0000_s1057" o:spid="_x0000_s1057" o:spt="20" style="position:absolute;left:0pt;margin-left:35.55pt;margin-top:26.2pt;height:0pt;width:523.55pt;mso-position-horizontal-relative:page;mso-wrap-distance-bottom:0pt;mso-wrap-distance-top:0pt;z-index:-251656192;mso-width-relative:page;mso-height-relative:page;" stroked="t" coordsize="21600,21600">
            <v:path arrowok="t"/>
            <v:fill focussize="0,0"/>
            <v:stroke weight="1.77472440944882pt" color="#0C1B27"/>
            <v:imagedata o:title=""/>
            <o:lock v:ext="edit"/>
            <w10:wrap type="topAndBottom"/>
          </v:line>
        </w:pict>
      </w:r>
      <w:r>
        <w:rPr>
          <w:color w:val="0C1B27"/>
          <w:w w:val="95"/>
        </w:rPr>
        <w:t>设</w:t>
      </w:r>
      <w:r>
        <w:rPr>
          <w:rFonts w:hint="eastAsia"/>
          <w:color w:val="0C1B27"/>
          <w:w w:val="95"/>
          <w:lang w:val="en-US" w:eastAsia="zh-CN"/>
        </w:rPr>
        <w:t>立</w:t>
      </w:r>
      <w:r>
        <w:rPr>
          <w:color w:val="0C1B27"/>
          <w:w w:val="95"/>
        </w:rPr>
        <w:t>依据</w:t>
      </w:r>
    </w:p>
    <w:p>
      <w:pPr>
        <w:widowControl w:val="0"/>
        <w:numPr>
          <w:ilvl w:val="0"/>
          <w:numId w:val="5"/>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"http://www.gd.gov.cn/zwgk/wjk/zcfgk/content/post_2523392.html"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"http://www.gd.gov.cn/zwgk/wjk/zcfgk/content/post_2523928.html"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《中华人民共和国航道法》（2016年修正）</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ascii="Helvetica" w:hAnsi="Helvetica" w:eastAsia="Helvetica" w:cs="Helvetica"/>
          <w:b w:val="0"/>
          <w:bCs w:val="0"/>
          <w:i w:val="0"/>
          <w:caps w:val="0"/>
          <w:color w:val="auto"/>
          <w:spacing w:val="0"/>
          <w:sz w:val="19"/>
          <w:szCs w:val="19"/>
          <w:shd w:val="clear" w:fill="FFFFFF"/>
        </w:rPr>
        <w:t>第</w:t>
      </w:r>
      <w:r>
        <w:rPr>
          <w:rFonts w:hint="eastAsia" w:ascii="Helvetica" w:hAnsi="Helvetica" w:eastAsia="宋体" w:cs="Helvetica"/>
          <w:b w:val="0"/>
          <w:bCs w:val="0"/>
          <w:i w:val="0"/>
          <w:caps w:val="0"/>
          <w:color w:val="auto"/>
          <w:spacing w:val="0"/>
          <w:sz w:val="19"/>
          <w:szCs w:val="19"/>
          <w:shd w:val="clear" w:fill="FFFFFF"/>
          <w:lang w:eastAsia="zh-CN"/>
        </w:rPr>
        <w:t>十</w:t>
      </w:r>
      <w:r>
        <w:rPr>
          <w:rFonts w:ascii="Helvetica" w:hAnsi="Helvetica" w:eastAsia="Helvetica" w:cs="Helvetica"/>
          <w:b w:val="0"/>
          <w:bCs w:val="0"/>
          <w:i w:val="0"/>
          <w:caps w:val="0"/>
          <w:color w:val="auto"/>
          <w:spacing w:val="0"/>
          <w:sz w:val="19"/>
          <w:szCs w:val="19"/>
          <w:shd w:val="clear" w:fill="FFFFFF"/>
        </w:rPr>
        <w:t>条</w:t>
      </w:r>
      <w:r>
        <w:rPr>
          <w:rFonts w:hint="eastAsia" w:ascii="Helvetica" w:hAnsi="Helvetica" w:eastAsia="宋体" w:cs="Helvetica"/>
          <w:b w:val="0"/>
          <w:bCs w:val="0"/>
          <w:i w:val="0"/>
          <w:caps w:val="0"/>
          <w:color w:val="auto"/>
          <w:spacing w:val="0"/>
          <w:sz w:val="19"/>
          <w:szCs w:val="19"/>
          <w:shd w:val="clear" w:fill="FFFFFF"/>
          <w:lang w:eastAsia="zh-CN"/>
        </w:rPr>
        <w:t>。</w:t>
      </w:r>
    </w:p>
    <w:p>
      <w:pPr>
        <w:widowControl w:val="0"/>
        <w:numPr>
          <w:ilvl w:val="0"/>
          <w:numId w:val="5"/>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"http://www.gd.gov.cn/zwgk/wjk/zcfgk/content/post_2520756.html"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《中华人民共和国航道管理条例》</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ascii="Helvetica" w:hAnsi="Helvetica" w:eastAsia="Helvetica" w:cs="Helvetica"/>
          <w:b w:val="0"/>
          <w:bCs w:val="0"/>
          <w:i w:val="0"/>
          <w:iCs w:val="0"/>
          <w:caps w:val="0"/>
          <w:color w:val="auto"/>
          <w:spacing w:val="0"/>
          <w:sz w:val="21"/>
          <w:szCs w:val="21"/>
          <w:shd w:val="clear" w:fill="FFFFFF"/>
        </w:rPr>
        <w:t>第十一条</w:t>
      </w:r>
    </w:p>
    <w:p>
      <w:pPr>
        <w:widowControl w:val="0"/>
        <w:numPr>
          <w:ilvl w:val="0"/>
          <w:numId w:val="5"/>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shd w:val="clear" w:fill="FFFFFF"/>
        </w:rPr>
        <w:t>《关于公路工程基本建设项目设计审批有关问题的通知》</w:t>
      </w:r>
      <w:r>
        <w:rPr>
          <w:rFonts w:hint="eastAsia" w:ascii="Helvetica" w:hAnsi="Helvetica" w:eastAsia="宋体" w:cs="Helvetica"/>
          <w:b w:val="0"/>
          <w:bCs w:val="0"/>
          <w:i w:val="0"/>
          <w:iCs w:val="0"/>
          <w:caps w:val="0"/>
          <w:color w:val="auto"/>
          <w:spacing w:val="0"/>
          <w:sz w:val="21"/>
          <w:szCs w:val="21"/>
          <w:shd w:val="clear" w:fill="FFFFFF"/>
          <w:lang w:eastAsia="zh-CN"/>
        </w:rPr>
        <w:t>第一条</w:t>
      </w:r>
    </w:p>
    <w:p>
      <w:pPr>
        <w:widowControl w:val="0"/>
        <w:numPr>
          <w:ilvl w:val="0"/>
          <w:numId w:val="5"/>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"http://www.gd.gov.cn/zwgk/wjk/zcfgk/content/post_2521028.html"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《公路建设监督管理办法》</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hint="eastAsia" w:ascii="Helvetica" w:hAnsi="Helvetica" w:eastAsia="宋体" w:cs="Helvetica"/>
          <w:b w:val="0"/>
          <w:bCs w:val="0"/>
          <w:i w:val="0"/>
          <w:iCs w:val="0"/>
          <w:caps w:val="0"/>
          <w:color w:val="auto"/>
          <w:spacing w:val="0"/>
          <w:sz w:val="21"/>
          <w:szCs w:val="21"/>
          <w:u w:val="none"/>
          <w:shd w:val="clear" w:fill="FFFFFF"/>
          <w:vertAlign w:val="baseline"/>
          <w:lang w:eastAsia="zh-CN"/>
        </w:rPr>
        <w:t>第八条</w:t>
      </w:r>
    </w:p>
    <w:p>
      <w:pPr>
        <w:widowControl w:val="0"/>
        <w:numPr>
          <w:ilvl w:val="0"/>
          <w:numId w:val="5"/>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"http://www.gd.gov.cn/zwgk/wjk/zcfgk/content/post_2712748.html"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《关于加强基础设施工程质量管理的通知》</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hint="default" w:ascii="Helvetica" w:hAnsi="Helvetica" w:eastAsia="Helvetica" w:cs="Helvetica"/>
          <w:b w:val="0"/>
          <w:bCs w:val="0"/>
          <w:i w:val="0"/>
          <w:iCs w:val="0"/>
          <w:caps w:val="0"/>
          <w:color w:val="auto"/>
          <w:spacing w:val="0"/>
          <w:sz w:val="21"/>
          <w:szCs w:val="21"/>
          <w:u w:val="none"/>
          <w:shd w:val="clear" w:fill="FFFFFF"/>
          <w:vertAlign w:val="baseline"/>
        </w:rPr>
        <w:t>第二条（五）（六）</w:t>
      </w:r>
    </w:p>
    <w:p>
      <w:pPr>
        <w:widowControl w:val="0"/>
        <w:numPr>
          <w:ilvl w:val="0"/>
          <w:numId w:val="5"/>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"http://www.gd.gov.cn/zwgk/wjk/zcfgk/content/post_2532477.html"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《交通运输部关于印发加强重点公路建设项目设计管理工作若干意见的通知》</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hint="eastAsia" w:ascii="Helvetica" w:hAnsi="Helvetica" w:eastAsia="宋体" w:cs="Helvetica"/>
          <w:b w:val="0"/>
          <w:bCs w:val="0"/>
          <w:i w:val="0"/>
          <w:iCs w:val="0"/>
          <w:caps w:val="0"/>
          <w:color w:val="auto"/>
          <w:spacing w:val="0"/>
          <w:sz w:val="21"/>
          <w:szCs w:val="21"/>
          <w:u w:val="none"/>
          <w:shd w:val="clear" w:fill="FFFFFF"/>
          <w:vertAlign w:val="baseline"/>
          <w:lang w:eastAsia="zh-CN"/>
        </w:rPr>
        <w:t>第三条</w:t>
      </w:r>
    </w:p>
    <w:p>
      <w:pPr>
        <w:widowControl w:val="0"/>
        <w:numPr>
          <w:ilvl w:val="0"/>
          <w:numId w:val="5"/>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"http://www.gd.gov.cn/zwgk/wjk/zcfgk/content/post_2521184.html"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《中华人民共和国港口法》（2017年修正）</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hint="eastAsia" w:ascii="Helvetica" w:hAnsi="Helvetica" w:eastAsia="宋体" w:cs="Helvetica"/>
          <w:b w:val="0"/>
          <w:bCs w:val="0"/>
          <w:i w:val="0"/>
          <w:iCs w:val="0"/>
          <w:caps w:val="0"/>
          <w:color w:val="auto"/>
          <w:spacing w:val="0"/>
          <w:sz w:val="21"/>
          <w:szCs w:val="21"/>
          <w:u w:val="none"/>
          <w:shd w:val="clear" w:fill="FFFFFF"/>
          <w:vertAlign w:val="baseline"/>
          <w:lang w:eastAsia="zh-CN"/>
        </w:rPr>
        <w:t>第十五条</w:t>
      </w:r>
    </w:p>
    <w:p>
      <w:pPr>
        <w:widowControl w:val="0"/>
        <w:numPr>
          <w:ilvl w:val="0"/>
          <w:numId w:val="5"/>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"http://www.gd.gov.cn/zwgk/wjk/zcfgk/content/post_2520829.html"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《港口工程建设管理规定》</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ascii="Helvetica" w:hAnsi="Helvetica" w:eastAsia="Helvetica" w:cs="Helvetica"/>
          <w:b w:val="0"/>
          <w:bCs w:val="0"/>
          <w:i w:val="0"/>
          <w:iCs w:val="0"/>
          <w:caps w:val="0"/>
          <w:color w:val="auto"/>
          <w:spacing w:val="0"/>
          <w:sz w:val="21"/>
          <w:szCs w:val="21"/>
          <w:shd w:val="clear" w:fill="FFFFFF"/>
        </w:rPr>
        <w:t>第十三、十四、十五条</w:t>
      </w:r>
    </w:p>
    <w:p>
      <w:pPr>
        <w:widowControl w:val="0"/>
        <w:numPr>
          <w:ilvl w:val="0"/>
          <w:numId w:val="5"/>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"http://www.gd.gov.cn/zwgk/wjk/zcfgk/content/post_2521197.html"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《航道建设管理规定》</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hint="eastAsia" w:ascii="Helvetica" w:hAnsi="Helvetica" w:eastAsia="宋体" w:cs="Helvetica"/>
          <w:b w:val="0"/>
          <w:bCs w:val="0"/>
          <w:i w:val="0"/>
          <w:iCs w:val="0"/>
          <w:caps w:val="0"/>
          <w:color w:val="auto"/>
          <w:spacing w:val="0"/>
          <w:sz w:val="21"/>
          <w:szCs w:val="21"/>
          <w:u w:val="none"/>
          <w:shd w:val="clear" w:fill="FFFFFF"/>
          <w:vertAlign w:val="baseline"/>
          <w:lang w:eastAsia="zh-CN"/>
        </w:rPr>
        <w:t>第三条</w:t>
      </w:r>
    </w:p>
    <w:p>
      <w:pPr>
        <w:widowControl w:val="0"/>
        <w:numPr>
          <w:ilvl w:val="0"/>
          <w:numId w:val="5"/>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"http://www.gd.gov.cn/zwgk/wjk/zcfgk/content/post_2521051.html"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《铁路建设工程勘察设计管理办法》</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hint="eastAsia" w:ascii="Helvetica" w:hAnsi="Helvetica" w:eastAsia="宋体" w:cs="Helvetica"/>
          <w:b w:val="0"/>
          <w:bCs w:val="0"/>
          <w:i w:val="0"/>
          <w:iCs w:val="0"/>
          <w:caps w:val="0"/>
          <w:color w:val="auto"/>
          <w:spacing w:val="0"/>
          <w:sz w:val="21"/>
          <w:szCs w:val="21"/>
          <w:u w:val="none"/>
          <w:shd w:val="clear" w:fill="FFFFFF"/>
          <w:vertAlign w:val="baseline"/>
          <w:lang w:eastAsia="zh-CN"/>
        </w:rPr>
        <w:t>第四十六条</w:t>
      </w:r>
    </w:p>
    <w:p>
      <w:pPr>
        <w:widowControl w:val="0"/>
        <w:numPr>
          <w:ilvl w:val="0"/>
          <w:numId w:val="5"/>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"http://www.gd.gov.cn/zwgk/wjk/zcfgk/content/post_2521051.html"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《铁路建设工程勘察设计管理办法》</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hint="eastAsia" w:ascii="Helvetica" w:hAnsi="Helvetica" w:eastAsia="宋体" w:cs="Helvetica"/>
          <w:b w:val="0"/>
          <w:bCs w:val="0"/>
          <w:i w:val="0"/>
          <w:iCs w:val="0"/>
          <w:caps w:val="0"/>
          <w:color w:val="auto"/>
          <w:spacing w:val="0"/>
          <w:sz w:val="21"/>
          <w:szCs w:val="21"/>
          <w:u w:val="none"/>
          <w:shd w:val="clear" w:fill="FFFFFF"/>
          <w:vertAlign w:val="baseline"/>
          <w:lang w:eastAsia="zh-CN"/>
        </w:rPr>
        <w:t>第四十七条</w:t>
      </w:r>
    </w:p>
    <w:p>
      <w:pPr>
        <w:widowControl w:val="0"/>
        <w:numPr>
          <w:ilvl w:val="0"/>
          <w:numId w:val="5"/>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"http://www.gd.gov.cn/zwgk/wjk/zcfgk/content/post_2531613.html"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《铁路建设管理办法》</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hint="eastAsia" w:ascii="Helvetica" w:hAnsi="Helvetica" w:eastAsia="宋体" w:cs="Helvetica"/>
          <w:b w:val="0"/>
          <w:bCs w:val="0"/>
          <w:i w:val="0"/>
          <w:iCs w:val="0"/>
          <w:caps w:val="0"/>
          <w:color w:val="auto"/>
          <w:spacing w:val="0"/>
          <w:sz w:val="21"/>
          <w:szCs w:val="21"/>
          <w:u w:val="none"/>
          <w:shd w:val="clear" w:fill="FFFFFF"/>
          <w:vertAlign w:val="baseline"/>
          <w:lang w:eastAsia="zh-CN"/>
        </w:rPr>
        <w:t>第十三条</w:t>
      </w:r>
    </w:p>
    <w:p>
      <w:pPr>
        <w:widowControl w:val="0"/>
        <w:numPr>
          <w:ilvl w:val="0"/>
          <w:numId w:val="5"/>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"http://www.gd.gov.cn/zwgk/wjk/zcfgk/content/post_2520829.html"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《港口工程建设管理规定》</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ascii="Helvetica" w:hAnsi="Helvetica" w:eastAsia="Helvetica" w:cs="Helvetica"/>
          <w:b w:val="0"/>
          <w:bCs w:val="0"/>
          <w:i w:val="0"/>
          <w:iCs w:val="0"/>
          <w:caps w:val="0"/>
          <w:color w:val="auto"/>
          <w:spacing w:val="0"/>
          <w:sz w:val="21"/>
          <w:szCs w:val="21"/>
          <w:shd w:val="clear" w:fill="FFFFFF"/>
        </w:rPr>
        <w:t>第十六、十七、十八条</w:t>
      </w:r>
    </w:p>
    <w:p>
      <w:pPr>
        <w:widowControl w:val="0"/>
        <w:numPr>
          <w:ilvl w:val="0"/>
          <w:numId w:val="5"/>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"http://www.gd.gov.cn/zwgk/wjk/zcfgk/content/post_2521197.html"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《航道建设管理规定》</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ascii="Helvetica" w:hAnsi="Helvetica" w:eastAsia="Helvetica" w:cs="Helvetica"/>
          <w:b w:val="0"/>
          <w:bCs w:val="0"/>
          <w:i w:val="0"/>
          <w:iCs w:val="0"/>
          <w:caps w:val="0"/>
          <w:color w:val="auto"/>
          <w:spacing w:val="0"/>
          <w:sz w:val="21"/>
          <w:szCs w:val="21"/>
          <w:shd w:val="clear" w:fill="FFFFFF"/>
        </w:rPr>
        <w:t>第三条、第二十四条</w:t>
      </w:r>
    </w:p>
    <w:p>
      <w:pPr>
        <w:widowControl w:val="0"/>
        <w:numPr>
          <w:ilvl w:val="0"/>
          <w:numId w:val="5"/>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"http://www.gd.gov.cn/zwgk/wjk/zcfgk/content/post_2521189.html"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《建设工程质量管理条例》</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ascii="Helvetica" w:hAnsi="Helvetica" w:eastAsia="Helvetica" w:cs="Helvetica"/>
          <w:b w:val="0"/>
          <w:bCs w:val="0"/>
          <w:i w:val="0"/>
          <w:iCs w:val="0"/>
          <w:caps w:val="0"/>
          <w:color w:val="auto"/>
          <w:spacing w:val="0"/>
          <w:sz w:val="21"/>
          <w:szCs w:val="21"/>
          <w:shd w:val="clear" w:fill="FFFFFF"/>
        </w:rPr>
        <w:t>第十一条</w:t>
      </w:r>
    </w:p>
    <w:p>
      <w:pPr>
        <w:widowControl w:val="0"/>
        <w:numPr>
          <w:ilvl w:val="0"/>
          <w:numId w:val="5"/>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"http://www.gd.gov.cn/zwgk/wjk/zcfgk/content/post_2521091.html"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《公路建设市场管理办法》</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ascii="Helvetica" w:hAnsi="Helvetica" w:eastAsia="Helvetica" w:cs="Helvetica"/>
          <w:b w:val="0"/>
          <w:bCs w:val="0"/>
          <w:i w:val="0"/>
          <w:iCs w:val="0"/>
          <w:caps w:val="0"/>
          <w:color w:val="auto"/>
          <w:spacing w:val="0"/>
          <w:sz w:val="21"/>
          <w:szCs w:val="21"/>
          <w:shd w:val="clear" w:fill="FFFFFF"/>
        </w:rPr>
        <w:t>第十八条</w:t>
      </w:r>
    </w:p>
    <w:p>
      <w:pPr>
        <w:widowControl w:val="0"/>
        <w:numPr>
          <w:ilvl w:val="0"/>
          <w:numId w:val="5"/>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hint="eastAsia" w:ascii="Helvetica" w:hAnsi="Helvetica" w:eastAsia="宋体" w:cs="Helvetica"/>
          <w:b w:val="0"/>
          <w:bCs w:val="0"/>
          <w:i w:val="0"/>
          <w:caps w:val="0"/>
          <w:color w:val="auto"/>
          <w:spacing w:val="0"/>
          <w:sz w:val="19"/>
          <w:szCs w:val="19"/>
          <w:shd w:val="clear" w:fill="FFFFFF"/>
          <w:lang w:eastAsia="zh-CN"/>
        </w:rPr>
        <w:t>《公路建设监督管理办法》第九条</w:t>
      </w:r>
    </w:p>
    <w:p>
      <w:pPr>
        <w:widowControl w:val="0"/>
        <w:numPr>
          <w:ilvl w:val="0"/>
          <w:numId w:val="0"/>
        </w:numPr>
        <w:autoSpaceDE w:val="0"/>
        <w:autoSpaceDN w:val="0"/>
        <w:spacing w:before="0" w:after="0" w:line="240" w:lineRule="auto"/>
        <w:ind w:right="0" w:rightChars="0"/>
        <w:jc w:val="left"/>
        <w:rPr>
          <w:rFonts w:hint="eastAsia" w:ascii="Helvetica" w:hAnsi="Helvetica" w:eastAsia="宋体" w:cs="Helvetica"/>
          <w:i w:val="0"/>
          <w:caps w:val="0"/>
          <w:color w:val="000000"/>
          <w:spacing w:val="0"/>
          <w:sz w:val="19"/>
          <w:szCs w:val="19"/>
          <w:shd w:val="clear" w:fill="FFFFFF"/>
          <w:lang w:eastAsia="zh-CN"/>
        </w:rPr>
      </w:pPr>
    </w:p>
    <w:p>
      <w:pPr>
        <w:pStyle w:val="2"/>
        <w:numPr>
          <w:ilvl w:val="0"/>
          <w:numId w:val="6"/>
        </w:numPr>
        <w:rPr>
          <w:color w:val="0C1B27"/>
        </w:rPr>
      </w:pPr>
      <w:r>
        <w:pict>
          <v:line id="_x0000_s1062" o:spid="_x0000_s1062" o:spt="20" style="position:absolute;left:0pt;margin-left:35.55pt;margin-top:26.2pt;height:0pt;width:523.55pt;mso-position-horizontal-relative:page;mso-wrap-distance-bottom:0pt;mso-wrap-distance-top:0pt;z-index:-251655168;mso-width-relative:page;mso-height-relative:page;" stroked="t" coordsize="21600,21600">
            <v:path arrowok="t"/>
            <v:fill focussize="0,0"/>
            <v:stroke weight="1.77472440944882pt" color="#0C1B27"/>
            <v:imagedata o:title=""/>
            <o:lock v:ext="edit"/>
            <w10:wrap type="topAndBottom"/>
          </v:line>
        </w:pict>
      </w:r>
      <w:r>
        <w:rPr>
          <w:rFonts w:hint="eastAsia"/>
          <w:lang w:eastAsia="zh-CN"/>
        </w:rPr>
        <w:t>申请材料</w:t>
      </w:r>
    </w:p>
    <w:p>
      <w:pPr>
        <w:pStyle w:val="2"/>
        <w:rPr>
          <w:rFonts w:hint="eastAsia" w:ascii="宋体" w:hAnsi="宋体" w:eastAsia="宋体" w:cs="宋体"/>
          <w:sz w:val="24"/>
          <w:szCs w:val="24"/>
        </w:rPr>
      </w:pPr>
      <w:r>
        <w:rPr>
          <w:rFonts w:hint="eastAsia" w:ascii="宋体" w:hAnsi="宋体" w:eastAsia="宋体" w:cs="宋体"/>
          <w:sz w:val="24"/>
          <w:szCs w:val="24"/>
        </w:rPr>
        <w:t xml:space="preserve">1 申请文件 原件：1 复印件：0 </w:t>
      </w:r>
    </w:p>
    <w:p>
      <w:pPr>
        <w:pStyle w:val="2"/>
        <w:rPr>
          <w:rFonts w:hint="eastAsia" w:ascii="宋体" w:hAnsi="宋体" w:eastAsia="宋体" w:cs="宋体"/>
          <w:sz w:val="24"/>
          <w:szCs w:val="24"/>
        </w:rPr>
      </w:pPr>
      <w:r>
        <w:rPr>
          <w:rFonts w:hint="eastAsia" w:ascii="宋体" w:hAnsi="宋体" w:eastAsia="宋体" w:cs="宋体"/>
          <w:sz w:val="24"/>
          <w:szCs w:val="24"/>
        </w:rPr>
        <w:t xml:space="preserve">2 施工图设计文件 原件：1 复印件：0 </w:t>
      </w:r>
    </w:p>
    <w:p>
      <w:pPr>
        <w:pStyle w:val="2"/>
        <w:rPr>
          <w:rFonts w:hint="eastAsia"/>
          <w:b/>
          <w:w w:val="95"/>
          <w:sz w:val="19"/>
          <w:lang w:val="en-US" w:eastAsia="zh-CN"/>
        </w:rPr>
      </w:pPr>
      <w:r>
        <w:rPr>
          <w:rFonts w:hint="eastAsia" w:ascii="宋体" w:hAnsi="宋体" w:eastAsia="宋体" w:cs="宋体"/>
          <w:sz w:val="24"/>
          <w:szCs w:val="24"/>
        </w:rPr>
        <w:t xml:space="preserve">3 经批准的初步设计文件 原件：1 复印件：0 </w:t>
      </w:r>
    </w:p>
    <w:p>
      <w:pPr>
        <w:pStyle w:val="6"/>
        <w:spacing w:before="11"/>
        <w:rPr>
          <w:b/>
          <w:sz w:val="9"/>
        </w:rPr>
      </w:pPr>
    </w:p>
    <w:p>
      <w:pPr>
        <w:spacing w:before="38"/>
        <w:ind w:left="151" w:right="0" w:firstLine="0"/>
        <w:jc w:val="left"/>
        <w:rPr>
          <w:rFonts w:hint="eastAsia"/>
          <w:b/>
          <w:bCs/>
          <w:sz w:val="24"/>
          <w:szCs w:val="24"/>
          <w:lang w:val="en-US" w:eastAsia="zh-CN"/>
        </w:rPr>
      </w:pPr>
      <w:r>
        <w:rPr>
          <w:rFonts w:hint="eastAsia"/>
          <w:b/>
          <w:bCs/>
          <w:sz w:val="24"/>
          <w:szCs w:val="24"/>
          <w:lang w:val="en-US" w:eastAsia="zh-CN"/>
        </w:rPr>
        <w:t xml:space="preserve"> </w:t>
      </w:r>
    </w:p>
    <w:p>
      <w:pPr>
        <w:spacing w:before="0"/>
        <w:ind w:right="0"/>
        <w:jc w:val="left"/>
        <w:rPr>
          <w:rFonts w:hint="default" w:eastAsia="Microsoft YaHei UI"/>
          <w:b/>
          <w:sz w:val="25"/>
          <w:lang w:val="en-US" w:eastAsia="zh-CN"/>
        </w:rPr>
      </w:pPr>
      <w:r>
        <w:pict>
          <v:line id="_x0000_s1075" o:spid="_x0000_s1075" o:spt="20" style="position:absolute;left:0pt;margin-left:35.55pt;margin-top:24.45pt;height:0pt;width:523.55pt;mso-position-horizontal-relative:page;mso-wrap-distance-bottom:0pt;mso-wrap-distance-top:0pt;z-index:-251651072;mso-width-relative:page;mso-height-relative:page;" stroked="t" coordsize="21600,21600">
            <v:path arrowok="t"/>
            <v:fill focussize="0,0"/>
            <v:stroke weight="1.77472440944882pt" color="#0C1B27"/>
            <v:imagedata o:title=""/>
            <o:lock v:ext="edit"/>
            <w10:wrap type="topAndBottom"/>
          </v:line>
        </w:pict>
      </w:r>
      <w:r>
        <w:rPr>
          <w:rFonts w:hint="eastAsia"/>
          <w:lang w:eastAsia="zh-CN"/>
        </w:rPr>
        <w:t>四</w:t>
      </w:r>
      <w:r>
        <w:rPr>
          <w:rFonts w:hint="eastAsia"/>
          <w:b/>
          <w:color w:val="0C1B27"/>
          <w:sz w:val="25"/>
          <w:lang w:val="en-US" w:eastAsia="zh-CN"/>
        </w:rPr>
        <w:t>、办理时限</w:t>
      </w:r>
    </w:p>
    <w:p>
      <w:pPr>
        <w:bidi w:val="0"/>
        <w:rPr>
          <w:rFonts w:hint="eastAsia"/>
          <w:lang w:val="en-US" w:eastAsia="zh-CN"/>
        </w:rPr>
      </w:pPr>
      <w:r>
        <w:rPr>
          <w:rFonts w:hint="eastAsia"/>
          <w:lang w:val="en-US" w:eastAsia="zh-CN"/>
        </w:rPr>
        <w:t>法定办结时限20日（工作日）</w:t>
      </w:r>
    </w:p>
    <w:p>
      <w:pPr>
        <w:bidi w:val="0"/>
        <w:rPr>
          <w:rFonts w:hint="eastAsia"/>
          <w:lang w:val="en-US" w:eastAsia="zh-CN"/>
        </w:rPr>
      </w:pPr>
    </w:p>
    <w:p>
      <w:pPr>
        <w:bidi w:val="0"/>
      </w:pPr>
      <w:r>
        <w:rPr>
          <w:rFonts w:hint="eastAsia"/>
          <w:lang w:val="en-US" w:eastAsia="zh-CN"/>
        </w:rPr>
        <w:t>承诺办结时限1日（工作日）</w:t>
      </w:r>
    </w:p>
    <w:p>
      <w:pPr>
        <w:pStyle w:val="2"/>
        <w:rPr>
          <w:color w:val="0C1B27"/>
        </w:rPr>
      </w:pPr>
    </w:p>
    <w:p>
      <w:pPr>
        <w:pStyle w:val="2"/>
        <w:ind w:left="0" w:leftChars="0" w:firstLine="0" w:firstLineChars="0"/>
      </w:pPr>
      <w:r>
        <w:pict>
          <v:line id="_x0000_s1067" o:spid="_x0000_s1067" o:spt="20" style="position:absolute;left:0pt;margin-left:35.55pt;margin-top:26.2pt;height:0pt;width:523.55pt;mso-position-horizontal-relative:page;mso-wrap-distance-bottom:0pt;mso-wrap-distance-top:0pt;z-index:-251654144;mso-width-relative:page;mso-height-relative:page;" stroked="t" coordsize="21600,21600">
            <v:path arrowok="t"/>
            <v:fill focussize="0,0"/>
            <v:stroke weight="1.77472440944882pt" color="#0C1B27"/>
            <v:imagedata o:title=""/>
            <o:lock v:ext="edit"/>
            <w10:wrap type="topAndBottom"/>
          </v:line>
        </w:pict>
      </w:r>
      <w:r>
        <w:rPr>
          <w:rFonts w:hint="eastAsia"/>
          <w:lang w:eastAsia="zh-CN"/>
        </w:rPr>
        <w:t>五</w:t>
      </w:r>
      <w:r>
        <w:rPr>
          <w:rFonts w:hint="eastAsia"/>
          <w:color w:val="0C1B27"/>
          <w:lang w:val="en-US" w:eastAsia="zh-CN"/>
        </w:rPr>
        <w:t>、</w:t>
      </w:r>
      <w:r>
        <w:rPr>
          <w:color w:val="0C1B27"/>
        </w:rPr>
        <w:t>许可收费</w:t>
      </w:r>
    </w:p>
    <w:p>
      <w:pPr>
        <w:pStyle w:val="6"/>
        <w:spacing w:before="170"/>
        <w:ind w:left="151"/>
        <w:rPr>
          <w:sz w:val="24"/>
          <w:szCs w:val="24"/>
        </w:rPr>
      </w:pPr>
      <w:r>
        <w:rPr>
          <w:w w:val="105"/>
          <w:sz w:val="24"/>
          <w:szCs w:val="24"/>
        </w:rPr>
        <w:t>不收费</w:t>
      </w:r>
    </w:p>
    <w:p>
      <w:pPr>
        <w:spacing w:before="38"/>
        <w:ind w:right="0"/>
        <w:jc w:val="left"/>
        <w:rPr>
          <w:rFonts w:hint="eastAsia"/>
          <w:lang w:val="en-US" w:eastAsia="zh-CN"/>
        </w:rPr>
      </w:pPr>
    </w:p>
    <w:p>
      <w:pPr>
        <w:spacing w:before="38"/>
        <w:ind w:right="0"/>
        <w:jc w:val="left"/>
        <w:rPr>
          <w:rFonts w:hint="eastAsia"/>
          <w:lang w:val="en-US"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eastAsia="Microsoft YaHei UI"/>
          <w:lang w:eastAsia="zh-CN"/>
        </w:rPr>
      </w:pPr>
      <w:r>
        <w:pict>
          <v:line id="_x0000_s1072" o:spid="_x0000_s1072" o:spt="20" style="position:absolute;left:0pt;margin-left:35.55pt;margin-top:26.2pt;height:0pt;width:523.55pt;mso-position-horizontal-relative:page;mso-wrap-distance-bottom:0pt;mso-wrap-distance-top:0pt;z-index:-251653120;mso-width-relative:page;mso-height-relative:page;" stroked="t" coordsize="21600,21600">
            <v:path arrowok="t"/>
            <v:fill focussize="0,0"/>
            <v:stroke weight="1.77472440944882pt" color="#0C1B27"/>
            <v:imagedata o:title=""/>
            <o:lock v:ext="edit"/>
            <w10:wrap type="topAndBottom"/>
          </v:line>
        </w:pict>
      </w:r>
      <w:r>
        <w:rPr>
          <w:rFonts w:hint="eastAsia"/>
          <w:lang w:eastAsia="zh-CN"/>
        </w:rPr>
        <w:t>六</w:t>
      </w:r>
      <w:r>
        <w:rPr>
          <w:rFonts w:hint="eastAsia"/>
          <w:color w:val="0C1B27"/>
          <w:lang w:val="en-US" w:eastAsia="zh-CN"/>
        </w:rPr>
        <w:t>、</w:t>
      </w:r>
      <w:r>
        <w:rPr>
          <w:color w:val="0C1B27"/>
        </w:rPr>
        <w:t>许可</w:t>
      </w:r>
      <w:r>
        <w:rPr>
          <w:rFonts w:hint="eastAsia"/>
          <w:color w:val="0C1B27"/>
          <w:lang w:eastAsia="zh-CN"/>
        </w:rPr>
        <w:t>流程</w:t>
      </w:r>
    </w:p>
    <w:p>
      <w:pPr>
        <w:pStyle w:val="5"/>
        <w:bidi w:val="0"/>
        <w:rPr>
          <w:rFonts w:hint="default"/>
          <w:b w:val="0"/>
          <w:bCs/>
          <w:lang w:val="en-US" w:eastAsia="zh-CN"/>
        </w:rPr>
      </w:pPr>
      <w:r>
        <w:rPr>
          <w:rFonts w:hint="eastAsia"/>
          <w:b w:val="0"/>
          <w:bCs/>
          <w:lang w:val="en-US" w:eastAsia="zh-CN"/>
        </w:rPr>
        <w:t>网上申请或窗口申请→受理（承办）→审核（审批）→办结</w:t>
      </w:r>
    </w:p>
    <w:p>
      <w:pPr>
        <w:pStyle w:val="2"/>
        <w:ind w:left="0" w:leftChars="0" w:firstLine="0" w:firstLineChars="0"/>
        <w:rPr>
          <w:rFonts w:hint="eastAsia" w:eastAsia="Microsoft YaHei UI"/>
          <w:lang w:eastAsia="zh-CN"/>
        </w:rPr>
      </w:pPr>
      <w:r>
        <w:pict>
          <v:line id="_x0000_s1073" o:spid="_x0000_s1073" o:spt="20" style="position:absolute;left:0pt;margin-left:35.55pt;margin-top:26.2pt;height:0pt;width:523.55pt;mso-position-horizontal-relative:page;mso-wrap-distance-bottom:0pt;mso-wrap-distance-top:0pt;z-index:-251652096;mso-width-relative:page;mso-height-relative:page;" stroked="t" coordsize="21600,21600">
            <v:path arrowok="t"/>
            <v:fill focussize="0,0"/>
            <v:stroke weight="1.77472440944882pt" color="#0C1B27"/>
            <v:imagedata o:title=""/>
            <o:lock v:ext="edit"/>
            <w10:wrap type="topAndBottom"/>
          </v:line>
        </w:pict>
      </w:r>
      <w:r>
        <w:rPr>
          <w:rFonts w:hint="eastAsia"/>
          <w:lang w:eastAsia="zh-CN"/>
        </w:rPr>
        <w:t>七</w:t>
      </w:r>
      <w:r>
        <w:rPr>
          <w:rFonts w:hint="eastAsia"/>
          <w:color w:val="0C1B27"/>
          <w:lang w:val="en-US" w:eastAsia="zh-CN"/>
        </w:rPr>
        <w:t>、</w:t>
      </w:r>
      <w:r>
        <w:rPr>
          <w:rFonts w:hint="eastAsia"/>
          <w:color w:val="0C1B27"/>
          <w:lang w:eastAsia="zh-CN"/>
        </w:rPr>
        <w:t>办理地址</w:t>
      </w:r>
    </w:p>
    <w:p>
      <w:pPr>
        <w:pStyle w:val="6"/>
        <w:spacing w:before="46" w:line="278" w:lineRule="auto"/>
        <w:ind w:left="151" w:right="4319"/>
        <w:rPr>
          <w:rFonts w:hint="eastAsia"/>
          <w:sz w:val="24"/>
          <w:szCs w:val="24"/>
          <w:lang w:val="en-US" w:eastAsia="zh-CN"/>
        </w:rPr>
      </w:pPr>
      <w:r>
        <w:rPr>
          <w:sz w:val="24"/>
          <w:szCs w:val="24"/>
        </w:rPr>
        <w:t>办理地点：</w:t>
      </w:r>
      <w:r>
        <w:rPr>
          <w:rFonts w:hint="eastAsia"/>
          <w:sz w:val="24"/>
          <w:szCs w:val="24"/>
          <w:lang w:val="en-US" w:eastAsia="zh-CN"/>
        </w:rPr>
        <w:t>吴川市海滨街道创业路8号星桥大厦三楼行政服务中心交通运输局窗口</w:t>
      </w:r>
    </w:p>
    <w:p>
      <w:pPr>
        <w:pStyle w:val="6"/>
        <w:spacing w:before="46" w:line="278" w:lineRule="auto"/>
        <w:ind w:left="151" w:right="4319"/>
        <w:rPr>
          <w:rFonts w:hint="eastAsia"/>
          <w:spacing w:val="3"/>
          <w:w w:val="105"/>
          <w:sz w:val="24"/>
          <w:szCs w:val="24"/>
          <w:lang w:val="en-US" w:eastAsia="zh-CN"/>
        </w:rPr>
      </w:pPr>
      <w:r>
        <w:rPr>
          <w:w w:val="105"/>
          <w:sz w:val="24"/>
          <w:szCs w:val="24"/>
        </w:rPr>
        <w:t>办公电话：</w:t>
      </w:r>
      <w:r>
        <w:rPr>
          <w:spacing w:val="3"/>
          <w:w w:val="105"/>
          <w:sz w:val="24"/>
          <w:szCs w:val="24"/>
        </w:rPr>
        <w:t>0759-</w:t>
      </w:r>
      <w:r>
        <w:rPr>
          <w:rFonts w:hint="eastAsia"/>
          <w:spacing w:val="3"/>
          <w:w w:val="105"/>
          <w:sz w:val="24"/>
          <w:szCs w:val="24"/>
          <w:lang w:val="en-US" w:eastAsia="zh-CN"/>
        </w:rPr>
        <w:t>5605201</w:t>
      </w:r>
    </w:p>
    <w:p>
      <w:pPr>
        <w:pStyle w:val="6"/>
        <w:spacing w:before="46" w:line="278" w:lineRule="auto"/>
        <w:ind w:left="151" w:right="4319"/>
        <w:rPr>
          <w:rFonts w:hint="eastAsia"/>
          <w:spacing w:val="3"/>
          <w:w w:val="105"/>
          <w:sz w:val="24"/>
          <w:szCs w:val="24"/>
          <w:lang w:val="en-US" w:eastAsia="zh-CN"/>
        </w:rPr>
      </w:pPr>
    </w:p>
    <w:p>
      <w:pPr>
        <w:pStyle w:val="2"/>
        <w:ind w:left="0" w:leftChars="0" w:firstLine="0" w:firstLineChars="0"/>
        <w:rPr>
          <w:rFonts w:hint="eastAsia" w:eastAsia="Microsoft YaHei UI"/>
          <w:lang w:eastAsia="zh-CN"/>
        </w:rPr>
      </w:pPr>
      <w:r>
        <w:pict>
          <v:line id="_x0000_s1076" o:spid="_x0000_s1076" o:spt="20" style="position:absolute;left:0pt;margin-left:35.55pt;margin-top:26.2pt;height:0pt;width:523.55pt;mso-position-horizontal-relative:page;mso-wrap-distance-bottom:0pt;mso-wrap-distance-top:0pt;z-index:-251650048;mso-width-relative:page;mso-height-relative:page;" stroked="t" coordsize="21600,21600">
            <v:path arrowok="t"/>
            <v:fill focussize="0,0"/>
            <v:stroke weight="1.77472440944882pt" color="#0C1B27"/>
            <v:imagedata o:title=""/>
            <o:lock v:ext="edit"/>
            <w10:wrap type="topAndBottom"/>
          </v:line>
        </w:pict>
      </w:r>
      <w:r>
        <w:rPr>
          <w:rFonts w:hint="eastAsia"/>
          <w:lang w:eastAsia="zh-CN"/>
        </w:rPr>
        <w:t>八</w:t>
      </w:r>
      <w:r>
        <w:rPr>
          <w:rFonts w:hint="eastAsia"/>
          <w:color w:val="0C1B27"/>
          <w:lang w:val="en-US" w:eastAsia="zh-CN"/>
        </w:rPr>
        <w:t>、</w:t>
      </w:r>
      <w:r>
        <w:rPr>
          <w:rFonts w:hint="eastAsia"/>
          <w:color w:val="0C1B27"/>
          <w:lang w:eastAsia="zh-CN"/>
        </w:rPr>
        <w:t>网上办理网址</w:t>
      </w:r>
    </w:p>
    <w:p>
      <w:pPr>
        <w:pStyle w:val="6"/>
        <w:spacing w:before="46" w:line="278" w:lineRule="auto"/>
        <w:ind w:left="151" w:right="4319"/>
        <w:rPr>
          <w:rFonts w:hint="eastAsia"/>
          <w:spacing w:val="3"/>
          <w:w w:val="105"/>
          <w:sz w:val="24"/>
          <w:szCs w:val="24"/>
          <w:lang w:val="en-US" w:eastAsia="zh-CN"/>
        </w:rPr>
      </w:pPr>
      <w:r>
        <w:rPr>
          <w:rFonts w:hint="eastAsia"/>
          <w:sz w:val="24"/>
          <w:szCs w:val="24"/>
        </w:rPr>
        <w:t>http://www.gdzwfw.gov.cn/portal/branch-hall?orgCode=007104873</w:t>
      </w:r>
    </w:p>
    <w:p>
      <w:pPr>
        <w:pStyle w:val="6"/>
        <w:spacing w:before="46" w:line="278" w:lineRule="auto"/>
        <w:ind w:left="151" w:right="4319"/>
        <w:rPr>
          <w:rFonts w:hint="eastAsia"/>
          <w:spacing w:val="3"/>
          <w:w w:val="105"/>
          <w:sz w:val="24"/>
          <w:szCs w:val="24"/>
          <w:lang w:val="en-US" w:eastAsia="zh-CN"/>
        </w:rPr>
      </w:pPr>
    </w:p>
    <w:p>
      <w:pPr>
        <w:pStyle w:val="6"/>
        <w:spacing w:before="46" w:line="278" w:lineRule="auto"/>
        <w:ind w:left="151" w:right="4319"/>
        <w:rPr>
          <w:rFonts w:hint="eastAsia"/>
          <w:spacing w:val="3"/>
          <w:w w:val="105"/>
          <w:sz w:val="24"/>
          <w:szCs w:val="24"/>
          <w:lang w:val="en-US" w:eastAsia="zh-CN"/>
        </w:rPr>
      </w:pPr>
    </w:p>
    <w:p>
      <w:pPr>
        <w:pStyle w:val="6"/>
        <w:spacing w:before="46" w:line="278" w:lineRule="auto"/>
        <w:ind w:left="151" w:right="4319"/>
        <w:rPr>
          <w:rFonts w:hint="default"/>
          <w:spacing w:val="3"/>
          <w:w w:val="105"/>
          <w:sz w:val="24"/>
          <w:szCs w:val="24"/>
          <w:lang w:val="en-US" w:eastAsia="zh-CN"/>
        </w:rPr>
      </w:pPr>
    </w:p>
    <w:p>
      <w:pPr>
        <w:rPr>
          <w:rFonts w:hint="eastAsia"/>
          <w:lang w:val="en-US" w:eastAsia="zh-CN"/>
        </w:rPr>
      </w:pPr>
    </w:p>
    <w:p>
      <w:pPr>
        <w:rPr>
          <w:rFonts w:hint="eastAsia"/>
          <w:lang w:val="en-US" w:eastAsia="zh-CN"/>
        </w:rPr>
      </w:pPr>
    </w:p>
    <w:p>
      <w:pPr>
        <w:pStyle w:val="5"/>
        <w:bidi w:val="0"/>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pStyle w:val="6"/>
        <w:spacing w:before="170"/>
        <w:ind w:left="151"/>
        <w:rPr>
          <w:rFonts w:hint="default"/>
          <w:lang w:val="en-US" w:eastAsia="zh-CN"/>
        </w:rPr>
      </w:pPr>
    </w:p>
    <w:sectPr>
      <w:footerReference r:id="rId3" w:type="default"/>
      <w:pgSz w:w="11900" w:h="16840"/>
      <w:pgMar w:top="400" w:right="560" w:bottom="220" w:left="560" w:header="153" w:footer="2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Microsoft YaHei UI">
    <w:altName w:val="宋体"/>
    <w:panose1 w:val="020B0503020204020204"/>
    <w:charset w:val="86"/>
    <w:family w:val="swiss"/>
    <w:pitch w:val="default"/>
    <w:sig w:usb0="00000000" w:usb1="0000000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7ED72C"/>
    <w:multiLevelType w:val="singleLevel"/>
    <w:tmpl w:val="B07ED72C"/>
    <w:lvl w:ilvl="0" w:tentative="0">
      <w:start w:val="2"/>
      <w:numFmt w:val="chineseCounting"/>
      <w:suff w:val="nothing"/>
      <w:lvlText w:val="（%1）"/>
      <w:lvlJc w:val="left"/>
      <w:rPr>
        <w:rFonts w:hint="eastAsia"/>
      </w:rPr>
    </w:lvl>
  </w:abstractNum>
  <w:abstractNum w:abstractNumId="1">
    <w:nsid w:val="F967C0D2"/>
    <w:multiLevelType w:val="singleLevel"/>
    <w:tmpl w:val="F967C0D2"/>
    <w:lvl w:ilvl="0" w:tentative="0">
      <w:start w:val="1"/>
      <w:numFmt w:val="decimal"/>
      <w:lvlText w:val="%1."/>
      <w:lvlJc w:val="left"/>
      <w:pPr>
        <w:tabs>
          <w:tab w:val="left" w:pos="312"/>
        </w:tabs>
      </w:pPr>
    </w:lvl>
  </w:abstractNum>
  <w:abstractNum w:abstractNumId="2">
    <w:nsid w:val="16E48EF7"/>
    <w:multiLevelType w:val="singleLevel"/>
    <w:tmpl w:val="16E48EF7"/>
    <w:lvl w:ilvl="0" w:tentative="0">
      <w:start w:val="3"/>
      <w:numFmt w:val="chineseCounting"/>
      <w:suff w:val="nothing"/>
      <w:lvlText w:val="%1、"/>
      <w:lvlJc w:val="left"/>
      <w:rPr>
        <w:rFonts w:hint="eastAsia"/>
      </w:rPr>
    </w:lvl>
  </w:abstractNum>
  <w:abstractNum w:abstractNumId="3">
    <w:nsid w:val="339C4D7B"/>
    <w:multiLevelType w:val="singleLevel"/>
    <w:tmpl w:val="339C4D7B"/>
    <w:lvl w:ilvl="0" w:tentative="0">
      <w:start w:val="2"/>
      <w:numFmt w:val="chineseCounting"/>
      <w:suff w:val="nothing"/>
      <w:lvlText w:val="%1、"/>
      <w:lvlJc w:val="left"/>
      <w:rPr>
        <w:rFonts w:hint="eastAsia"/>
      </w:rPr>
    </w:lvl>
  </w:abstractNum>
  <w:abstractNum w:abstractNumId="4">
    <w:nsid w:val="470285FB"/>
    <w:multiLevelType w:val="singleLevel"/>
    <w:tmpl w:val="470285FB"/>
    <w:lvl w:ilvl="0" w:tentative="0">
      <w:start w:val="1"/>
      <w:numFmt w:val="chineseCounting"/>
      <w:suff w:val="nothing"/>
      <w:lvlText w:val="（%1）"/>
      <w:lvlJc w:val="left"/>
      <w:rPr>
        <w:rFonts w:hint="eastAsia"/>
      </w:rPr>
    </w:lvl>
  </w:abstractNum>
  <w:abstractNum w:abstractNumId="5">
    <w:nsid w:val="72ACF798"/>
    <w:multiLevelType w:val="singleLevel"/>
    <w:tmpl w:val="72ACF798"/>
    <w:lvl w:ilvl="0" w:tentative="0">
      <w:start w:val="1"/>
      <w:numFmt w:val="chineseCounting"/>
      <w:suff w:val="nothing"/>
      <w:lvlText w:val="（%1）"/>
      <w:lvlJc w:val="left"/>
      <w:rPr>
        <w:rFonts w:hint="eastAsia"/>
      </w:rPr>
    </w:lvl>
  </w:abstractNum>
  <w:num w:numId="1">
    <w:abstractNumId w:val="4"/>
  </w:num>
  <w:num w:numId="2">
    <w:abstractNumId w:val="5"/>
  </w:num>
  <w:num w:numId="3">
    <w:abstractNumId w:val="0"/>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1BD3954"/>
    <w:rsid w:val="05902E9E"/>
    <w:rsid w:val="05932CBB"/>
    <w:rsid w:val="05FB4F08"/>
    <w:rsid w:val="06373733"/>
    <w:rsid w:val="08B80AD5"/>
    <w:rsid w:val="0D033D24"/>
    <w:rsid w:val="0DC64FCD"/>
    <w:rsid w:val="0EEA11E0"/>
    <w:rsid w:val="10D522E8"/>
    <w:rsid w:val="127272D8"/>
    <w:rsid w:val="13CE38C5"/>
    <w:rsid w:val="166B74C7"/>
    <w:rsid w:val="16D51BCF"/>
    <w:rsid w:val="1CB059CB"/>
    <w:rsid w:val="1E913607"/>
    <w:rsid w:val="23715583"/>
    <w:rsid w:val="27CE6EE7"/>
    <w:rsid w:val="295C4098"/>
    <w:rsid w:val="2C160541"/>
    <w:rsid w:val="2E3B5A34"/>
    <w:rsid w:val="2EC86B89"/>
    <w:rsid w:val="345713AB"/>
    <w:rsid w:val="351E415C"/>
    <w:rsid w:val="3AFF3CE2"/>
    <w:rsid w:val="3C022830"/>
    <w:rsid w:val="3CE36829"/>
    <w:rsid w:val="40651B3E"/>
    <w:rsid w:val="40DF4D9F"/>
    <w:rsid w:val="43D724E4"/>
    <w:rsid w:val="479D1FDB"/>
    <w:rsid w:val="4B0A051F"/>
    <w:rsid w:val="4B4D1436"/>
    <w:rsid w:val="4CFE448E"/>
    <w:rsid w:val="4F1B43DA"/>
    <w:rsid w:val="4F2F4D9A"/>
    <w:rsid w:val="514B6380"/>
    <w:rsid w:val="52390962"/>
    <w:rsid w:val="53F67D37"/>
    <w:rsid w:val="58F71A2A"/>
    <w:rsid w:val="59376335"/>
    <w:rsid w:val="5BB069B6"/>
    <w:rsid w:val="5BE20A17"/>
    <w:rsid w:val="5DB45FDC"/>
    <w:rsid w:val="62184253"/>
    <w:rsid w:val="64135942"/>
    <w:rsid w:val="655D51A0"/>
    <w:rsid w:val="6BD62C2E"/>
    <w:rsid w:val="6FEF2A70"/>
    <w:rsid w:val="74B14AF2"/>
    <w:rsid w:val="7CD645D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Microsoft YaHei UI" w:hAnsi="Microsoft YaHei UI" w:eastAsia="Microsoft YaHei UI" w:cs="Microsoft YaHei UI"/>
      <w:sz w:val="22"/>
      <w:szCs w:val="22"/>
      <w:lang w:val="en-US" w:eastAsia="en-US" w:bidi="en-US"/>
    </w:rPr>
  </w:style>
  <w:style w:type="paragraph" w:styleId="2">
    <w:name w:val="heading 1"/>
    <w:basedOn w:val="1"/>
    <w:next w:val="1"/>
    <w:qFormat/>
    <w:uiPriority w:val="1"/>
    <w:pPr>
      <w:spacing w:before="35"/>
      <w:ind w:left="151"/>
      <w:outlineLvl w:val="1"/>
    </w:pPr>
    <w:rPr>
      <w:rFonts w:ascii="Microsoft YaHei UI" w:hAnsi="Microsoft YaHei UI" w:eastAsia="Microsoft YaHei UI" w:cs="Microsoft YaHei UI"/>
      <w:b/>
      <w:bCs/>
      <w:sz w:val="25"/>
      <w:szCs w:val="25"/>
      <w:lang w:val="en-US" w:eastAsia="en-US" w:bidi="en-US"/>
    </w:rPr>
  </w:style>
  <w:style w:type="paragraph" w:styleId="3">
    <w:name w:val="heading 2"/>
    <w:basedOn w:val="1"/>
    <w:next w:val="1"/>
    <w:qFormat/>
    <w:uiPriority w:val="1"/>
    <w:pPr>
      <w:ind w:left="151"/>
      <w:outlineLvl w:val="2"/>
    </w:pPr>
    <w:rPr>
      <w:rFonts w:ascii="Microsoft YaHei UI" w:hAnsi="Microsoft YaHei UI" w:eastAsia="Microsoft YaHei UI" w:cs="Microsoft YaHei UI"/>
      <w:b/>
      <w:bCs/>
      <w:sz w:val="16"/>
      <w:szCs w:val="16"/>
      <w:lang w:val="en-US" w:eastAsia="en-US" w:bidi="en-US"/>
    </w:rPr>
  </w:style>
  <w:style w:type="paragraph" w:styleId="4">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5">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10">
    <w:name w:val="Default Paragraph Font"/>
    <w:semiHidden/>
    <w:unhideWhenUsed/>
    <w:qFormat/>
    <w:uiPriority w:val="1"/>
  </w:style>
  <w:style w:type="table" w:default="1" w:styleId="9">
    <w:name w:val="Normal Table"/>
    <w:semiHidden/>
    <w:qFormat/>
    <w:uiPriority w:val="0"/>
    <w:tblPr>
      <w:tblCellMar>
        <w:top w:w="0" w:type="dxa"/>
        <w:left w:w="108" w:type="dxa"/>
        <w:bottom w:w="0" w:type="dxa"/>
        <w:right w:w="108" w:type="dxa"/>
      </w:tblCellMar>
    </w:tblPr>
  </w:style>
  <w:style w:type="paragraph" w:styleId="6">
    <w:name w:val="Body Text"/>
    <w:basedOn w:val="1"/>
    <w:qFormat/>
    <w:uiPriority w:val="1"/>
    <w:rPr>
      <w:rFonts w:ascii="Microsoft YaHei UI" w:hAnsi="Microsoft YaHei UI" w:eastAsia="Microsoft YaHei UI" w:cs="Microsoft YaHei UI"/>
      <w:sz w:val="16"/>
      <w:szCs w:val="16"/>
      <w:lang w:val="en-US" w:eastAsia="en-US" w:bidi="en-US"/>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1">
    <w:name w:val="Hyperlink"/>
    <w:basedOn w:val="10"/>
    <w:uiPriority w:val="0"/>
    <w:rPr>
      <w:color w:val="0000FF"/>
      <w:u w:val="single"/>
    </w:rPr>
  </w:style>
  <w:style w:type="table" w:customStyle="1" w:styleId="12">
    <w:name w:val="Table Normal"/>
    <w:semiHidden/>
    <w:unhideWhenUsed/>
    <w:qFormat/>
    <w:uiPriority w:val="2"/>
    <w:tblPr>
      <w:tblCellMar>
        <w:top w:w="0" w:type="dxa"/>
        <w:left w:w="0" w:type="dxa"/>
        <w:bottom w:w="0" w:type="dxa"/>
        <w:right w:w="0" w:type="dxa"/>
      </w:tblCellMar>
    </w:tblPr>
  </w:style>
  <w:style w:type="paragraph" w:styleId="13">
    <w:name w:val="List Paragraph"/>
    <w:basedOn w:val="1"/>
    <w:qFormat/>
    <w:uiPriority w:val="1"/>
    <w:rPr>
      <w:lang w:val="en-US" w:eastAsia="en-US" w:bidi="en-US"/>
    </w:rPr>
  </w:style>
  <w:style w:type="paragraph" w:customStyle="1" w:styleId="14">
    <w:name w:val="Table Paragraph"/>
    <w:basedOn w:val="1"/>
    <w:qFormat/>
    <w:uiPriority w:val="1"/>
    <w:pPr>
      <w:spacing w:before="80"/>
      <w:ind w:left="98"/>
    </w:pPr>
    <w:rPr>
      <w:rFonts w:ascii="Microsoft YaHei UI" w:hAnsi="Microsoft YaHei UI" w:eastAsia="Microsoft YaHei UI" w:cs="Microsoft YaHei UI"/>
      <w:lang w:val="en-US" w:eastAsia="en-US" w:bidi="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56"/>
    <customShpInfo spid="_x0000_s1057"/>
    <customShpInfo spid="_x0000_s1062"/>
    <customShpInfo spid="_x0000_s1075"/>
    <customShpInfo spid="_x0000_s1067"/>
    <customShpInfo spid="_x0000_s1072"/>
    <customShpInfo spid="_x0000_s1073"/>
    <customShpInfo spid="_x0000_s107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Lines>1</Lines>
  <Paragraphs>1</Paragraphs>
  <TotalTime>1</TotalTime>
  <ScaleCrop>false</ScaleCrop>
  <LinksUpToDate>false</LinksUpToDate>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2021-07-30T02:55:00Z</dcterms:created>
  <dc:creator>Administrator</dc:creator>
  <cp:lastModifiedBy>Administrator</cp:lastModifiedBy>
  <cp:lastPrinted>2021-08-23T03:51:00Z</cp:lastPrinted>
  <dcterms:modified xsi:type="dcterms:W3CDTF">2021-08-31T09:41:17Z</dcterms:modified>
  <dc:title>普通公路施工图设计审查、审批</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2020-10-16T00:00:00Z</vt:filetime>
  </property>
  <property fmtid="{D5CDD505-2E9C-101B-9397-08002B2CF9AE}" pid="3" name="Creator">
    <vt:lpwstr>wkhtmltopdf 0.12.5</vt:lpwstr>
  </property>
  <property fmtid="{D5CDD505-2E9C-101B-9397-08002B2CF9AE}" pid="4" name="LastSaved">
    <vt:filetime>2020-10-16T00:00:00Z</vt:filetime>
  </property>
  <property fmtid="{D5CDD505-2E9C-101B-9397-08002B2CF9AE}" pid="5" name="KSOProductBuildVer">
    <vt:lpwstr>2052-11.1.0.10314</vt:lpwstr>
  </property>
  <property fmtid="{D5CDD505-2E9C-101B-9397-08002B2CF9AE}" pid="6" name="ICV">
    <vt:lpwstr>66B5168839C4413F85C25EC9E3846BF4</vt:lpwstr>
  </property>
</Properties>
</file>