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topLinePunct w:val="0"/>
        <w:autoSpaceDE/>
        <w:autoSpaceDN/>
        <w:bidi w:val="0"/>
        <w:adjustRightInd/>
        <w:snapToGrid/>
        <w:spacing w:before="120" w:beforeLines="50" w:line="560" w:lineRule="exact"/>
        <w:ind w:firstLine="0" w:firstLineChars="0"/>
        <w:jc w:val="center"/>
        <w:textAlignment w:val="auto"/>
        <w:rPr>
          <w:rFonts w:hint="eastAsia" w:ascii="方正小标宋简体" w:hAnsi="方正小标宋简体" w:eastAsia="方正小标宋简体" w:cs="方正小标宋简体"/>
          <w:b/>
          <w:bCs/>
          <w:sz w:val="44"/>
          <w:szCs w:val="44"/>
          <w:lang w:val="en-US" w:eastAsia="zh-CN"/>
        </w:rPr>
      </w:pPr>
      <w:bookmarkStart w:id="0" w:name="_GoBack"/>
      <w:bookmarkEnd w:id="0"/>
      <w:r>
        <w:rPr>
          <w:rFonts w:hint="eastAsia" w:ascii="方正小标宋简体" w:hAnsi="方正小标宋简体" w:eastAsia="方正小标宋简体" w:cs="方正小标宋简体"/>
          <w:b/>
          <w:bCs/>
          <w:sz w:val="44"/>
          <w:szCs w:val="44"/>
          <w:lang w:val="en-US" w:eastAsia="zh-CN"/>
        </w:rPr>
        <w:t>吴川市塘尾</w:t>
      </w:r>
      <w:r>
        <w:rPr>
          <w:rFonts w:hint="eastAsia" w:ascii="方正小标宋简体" w:hAnsi="方正小标宋简体" w:eastAsia="方正小标宋简体" w:cs="方正小标宋简体"/>
          <w:b/>
          <w:bCs/>
          <w:sz w:val="44"/>
          <w:szCs w:val="44"/>
        </w:rPr>
        <w:t>水电站生态流</w:t>
      </w:r>
      <w:r>
        <w:rPr>
          <w:rFonts w:hint="eastAsia" w:ascii="方正小标宋简体" w:hAnsi="方正小标宋简体" w:eastAsia="方正小标宋简体" w:cs="方正小标宋简体"/>
          <w:b/>
          <w:bCs/>
          <w:sz w:val="44"/>
          <w:szCs w:val="44"/>
          <w:lang w:val="en-US" w:eastAsia="zh-CN"/>
        </w:rPr>
        <w:t>量核定</w:t>
      </w:r>
    </w:p>
    <w:p>
      <w:pPr>
        <w:keepLines w:val="0"/>
        <w:pageBreakBefore w:val="0"/>
        <w:widowControl w:val="0"/>
        <w:kinsoku/>
        <w:wordWrap/>
        <w:overflowPunct/>
        <w:topLinePunct w:val="0"/>
        <w:autoSpaceDE/>
        <w:autoSpaceDN/>
        <w:bidi w:val="0"/>
        <w:adjustRightInd/>
        <w:snapToGrid/>
        <w:spacing w:before="120" w:beforeLines="50" w:line="560" w:lineRule="exact"/>
        <w:ind w:firstLine="0" w:firstLineChars="0"/>
        <w:jc w:val="center"/>
        <w:textAlignment w:val="auto"/>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方法和情况</w:t>
      </w:r>
    </w:p>
    <w:p>
      <w:pPr>
        <w:keepLines w:val="0"/>
        <w:pageBreakBefore w:val="0"/>
        <w:widowControl w:val="0"/>
        <w:kinsoku/>
        <w:wordWrap/>
        <w:overflowPunct/>
        <w:topLinePunct w:val="0"/>
        <w:autoSpaceDE/>
        <w:autoSpaceDN/>
        <w:bidi w:val="0"/>
        <w:adjustRightInd/>
        <w:snapToGrid/>
        <w:spacing w:line="560" w:lineRule="exact"/>
        <w:ind w:firstLine="560"/>
        <w:jc w:val="center"/>
        <w:textAlignment w:val="auto"/>
        <w:rPr>
          <w:rFonts w:hint="eastAsia" w:ascii="方正小标宋简体" w:hAnsi="方正小标宋简体" w:eastAsia="方正小标宋简体" w:cs="方正小标宋简体"/>
          <w:b/>
          <w:bCs/>
          <w:sz w:val="44"/>
          <w:szCs w:val="44"/>
        </w:rPr>
      </w:pP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一、生态流量核定方法</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（1）计算方法选用</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依据《河湖生态环境需水计算规范》（SL/Z 712-2014）以及《水利水电建设项目水资源论证导则》（SL 525-2011）、《河湖生态需水评估导则》（SL/Z 479-2010）、《水利水电建设项目水资源论证导则》（SL 525-2011），选用多年平均流量的10%（简称“多年平均流量法”）作为水电站断面生态流量核定的计算方法。</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（2）生态流量核定</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1）利用参证水文站核定生态流量</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电站所处河流的流量资料无法直接获取的，选取与核定断面所在河流同一流域、相近流域或自然地理特征相似的水文站作为参证水文站，采用水文比拟法用参证水文站的生态流量计算得出。</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参证水文站根据实测水文资料，按照多年平均流量法计算出生态流量。多年平均流量法根据历年各月平均流量资料系列，计算多年平均流量，选取多年平均流量的10%作为生态流量。</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2）利用电站多年平均流量直接核定</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对于电站设计报告中有多年平均流量且采用多年平均流量法核定的电站，可直接核定。</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3）生态流量核定及修正</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①生态流量计算采用多年平均流量法，且该电站取水口所在河流与比拟水文站相似性不高的，采用取水口所在河流的径流深计算多年平均流量，用参证实测水文资料修正。</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②该电站设计报告中有取水口所在河流多年平均流量的，按照多年平均流量，否则按照集水面积作为比拟参数计算生态流量。</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③对计算出的生态流量进行合理性分析，初步确定断面的生态流量。</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④以河流为单元，对初步核定的各断面生态流量进行统筹分析，最终确定断面的生态流量。</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二、生态流量核定</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根据《广东省吴川市塘尾分洪闸安全评价安全评价报告》（2017年6月，中山市水利水电勘测设计咨询有限公司）可知，鉴江全流域面积9464km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，多年平均年径流量51.4亿m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，多年平均流量164m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/s。</w:t>
      </w:r>
    </w:p>
    <w:p>
      <w:pPr>
        <w:pStyle w:val="3"/>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表1  塘尾分洪闸安全评价工程设计特性表</w:t>
      </w:r>
    </w:p>
    <w:tbl>
      <w:tblPr>
        <w:tblStyle w:val="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4"/>
        <w:gridCol w:w="3104"/>
        <w:gridCol w:w="1606"/>
        <w:gridCol w:w="1176"/>
        <w:gridCol w:w="2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445"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w:t>
            </w:r>
          </w:p>
        </w:tc>
        <w:tc>
          <w:tcPr>
            <w:tcW w:w="12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全流域面积</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km</w:t>
            </w:r>
            <w:r>
              <w:rPr>
                <w:rFonts w:hint="eastAsia" w:ascii="仿宋_GB2312" w:hAnsi="仿宋_GB2312" w:eastAsia="仿宋_GB2312" w:cs="仿宋_GB2312"/>
                <w:sz w:val="32"/>
                <w:szCs w:val="32"/>
                <w:vertAlign w:val="superscript"/>
              </w:rPr>
              <w:t>2</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9464</w:t>
            </w:r>
          </w:p>
        </w:tc>
        <w:tc>
          <w:tcPr>
            <w:tcW w:w="12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多年平均径流量</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1.0×10</w:t>
            </w:r>
            <w:r>
              <w:rPr>
                <w:rFonts w:hint="eastAsia" w:ascii="仿宋_GB2312" w:hAnsi="仿宋_GB2312" w:eastAsia="仿宋_GB2312" w:cs="仿宋_GB2312"/>
                <w:sz w:val="32"/>
                <w:szCs w:val="32"/>
                <w:vertAlign w:val="superscript"/>
              </w:rPr>
              <w:t>9</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3</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51.4</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代表性流量</w:t>
            </w:r>
          </w:p>
        </w:tc>
        <w:tc>
          <w:tcPr>
            <w:tcW w:w="909" w:type="pct"/>
            <w:vAlign w:val="center"/>
          </w:tcPr>
          <w:p>
            <w:pPr>
              <w:pStyle w:val="8"/>
              <w:rPr>
                <w:rFonts w:hint="eastAsia" w:ascii="仿宋_GB2312" w:hAnsi="仿宋_GB2312" w:eastAsia="仿宋_GB2312" w:cs="仿宋_GB2312"/>
                <w:sz w:val="32"/>
                <w:szCs w:val="32"/>
              </w:rPr>
            </w:pPr>
          </w:p>
        </w:tc>
        <w:tc>
          <w:tcPr>
            <w:tcW w:w="598" w:type="pct"/>
            <w:vAlign w:val="center"/>
          </w:tcPr>
          <w:p>
            <w:pPr>
              <w:pStyle w:val="8"/>
              <w:rPr>
                <w:rFonts w:hint="eastAsia" w:ascii="仿宋_GB2312" w:hAnsi="仿宋_GB2312" w:eastAsia="仿宋_GB2312" w:cs="仿宋_GB2312"/>
                <w:sz w:val="32"/>
                <w:szCs w:val="32"/>
              </w:rPr>
            </w:pP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设计洪水流量(p=2%)</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/s</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4113</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校核洪水流量(p=1%)</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/s</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4542</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代表性水位(珠基)</w:t>
            </w:r>
          </w:p>
        </w:tc>
        <w:tc>
          <w:tcPr>
            <w:tcW w:w="909" w:type="pct"/>
            <w:vAlign w:val="center"/>
          </w:tcPr>
          <w:p>
            <w:pPr>
              <w:pStyle w:val="8"/>
              <w:rPr>
                <w:rFonts w:hint="eastAsia" w:ascii="仿宋_GB2312" w:hAnsi="仿宋_GB2312" w:eastAsia="仿宋_GB2312" w:cs="仿宋_GB2312"/>
                <w:sz w:val="32"/>
                <w:szCs w:val="32"/>
              </w:rPr>
            </w:pPr>
          </w:p>
        </w:tc>
        <w:tc>
          <w:tcPr>
            <w:tcW w:w="598" w:type="pct"/>
            <w:vAlign w:val="center"/>
          </w:tcPr>
          <w:p>
            <w:pPr>
              <w:pStyle w:val="8"/>
              <w:rPr>
                <w:rFonts w:hint="eastAsia" w:ascii="仿宋_GB2312" w:hAnsi="仿宋_GB2312" w:eastAsia="仿宋_GB2312" w:cs="仿宋_GB2312"/>
                <w:sz w:val="32"/>
                <w:szCs w:val="32"/>
              </w:rPr>
            </w:pP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设计闸上洪水位(p=2%)</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4.59</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设计闸下洪水位(p=2%)</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4.39</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校核闸上洪水位(p=1%)</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4.86</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校核闸下洪水位(p=1%)</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4.66</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闸上最高蓄水位</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3.00</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闸上正常蓄水位</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2.70</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闸下设计最低水位</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水闸主要建筑物</w:t>
            </w:r>
          </w:p>
        </w:tc>
        <w:tc>
          <w:tcPr>
            <w:tcW w:w="909" w:type="pct"/>
            <w:vAlign w:val="center"/>
          </w:tcPr>
          <w:p>
            <w:pPr>
              <w:pStyle w:val="8"/>
              <w:rPr>
                <w:rFonts w:hint="eastAsia" w:ascii="仿宋_GB2312" w:hAnsi="仿宋_GB2312" w:eastAsia="仿宋_GB2312" w:cs="仿宋_GB2312"/>
                <w:sz w:val="32"/>
                <w:szCs w:val="32"/>
              </w:rPr>
            </w:pPr>
          </w:p>
        </w:tc>
        <w:tc>
          <w:tcPr>
            <w:tcW w:w="598" w:type="pct"/>
            <w:vAlign w:val="center"/>
          </w:tcPr>
          <w:p>
            <w:pPr>
              <w:pStyle w:val="8"/>
              <w:rPr>
                <w:rFonts w:hint="eastAsia" w:ascii="仿宋_GB2312" w:hAnsi="仿宋_GB2312" w:eastAsia="仿宋_GB2312" w:cs="仿宋_GB2312"/>
                <w:sz w:val="32"/>
                <w:szCs w:val="32"/>
              </w:rPr>
            </w:pP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底板面高程</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w:t>
            </w:r>
          </w:p>
        </w:tc>
        <w:tc>
          <w:tcPr>
            <w:tcW w:w="12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珠基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闸顶高程</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7.50</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孔数</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顺水流方向长度</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21.80</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垂直水流方向临水面宽度</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263.00</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水闸主要机电设备</w:t>
            </w:r>
          </w:p>
        </w:tc>
        <w:tc>
          <w:tcPr>
            <w:tcW w:w="909" w:type="pct"/>
            <w:vAlign w:val="center"/>
          </w:tcPr>
          <w:p>
            <w:pPr>
              <w:pStyle w:val="8"/>
              <w:rPr>
                <w:rFonts w:hint="eastAsia" w:ascii="仿宋_GB2312" w:hAnsi="仿宋_GB2312" w:eastAsia="仿宋_GB2312" w:cs="仿宋_GB2312"/>
                <w:sz w:val="32"/>
                <w:szCs w:val="32"/>
              </w:rPr>
            </w:pPr>
          </w:p>
        </w:tc>
        <w:tc>
          <w:tcPr>
            <w:tcW w:w="598" w:type="pct"/>
            <w:vAlign w:val="center"/>
          </w:tcPr>
          <w:p>
            <w:pPr>
              <w:pStyle w:val="8"/>
              <w:rPr>
                <w:rFonts w:hint="eastAsia" w:ascii="仿宋_GB2312" w:hAnsi="仿宋_GB2312" w:eastAsia="仿宋_GB2312" w:cs="仿宋_GB2312"/>
                <w:sz w:val="32"/>
                <w:szCs w:val="32"/>
              </w:rPr>
            </w:pP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启闭机台数</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台</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启闭机型号</w:t>
            </w:r>
          </w:p>
        </w:tc>
        <w:tc>
          <w:tcPr>
            <w:tcW w:w="909" w:type="pct"/>
            <w:vAlign w:val="center"/>
          </w:tcPr>
          <w:p>
            <w:pPr>
              <w:pStyle w:val="8"/>
              <w:rPr>
                <w:rFonts w:hint="eastAsia" w:ascii="仿宋_GB2312" w:hAnsi="仿宋_GB2312" w:eastAsia="仿宋_GB2312" w:cs="仿宋_GB2312"/>
                <w:sz w:val="32"/>
                <w:szCs w:val="32"/>
              </w:rPr>
            </w:pPr>
          </w:p>
        </w:tc>
        <w:tc>
          <w:tcPr>
            <w:tcW w:w="1822" w:type="pct"/>
            <w:gridSpan w:val="2"/>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QPQ-2×100KN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闸门结构形式</w:t>
            </w:r>
          </w:p>
        </w:tc>
        <w:tc>
          <w:tcPr>
            <w:tcW w:w="909" w:type="pct"/>
            <w:vAlign w:val="center"/>
          </w:tcPr>
          <w:p>
            <w:pPr>
              <w:pStyle w:val="8"/>
              <w:rPr>
                <w:rFonts w:hint="eastAsia" w:ascii="仿宋_GB2312" w:hAnsi="仿宋_GB2312" w:eastAsia="仿宋_GB2312" w:cs="仿宋_GB2312"/>
                <w:sz w:val="32"/>
                <w:szCs w:val="32"/>
              </w:rPr>
            </w:pPr>
          </w:p>
        </w:tc>
        <w:tc>
          <w:tcPr>
            <w:tcW w:w="1822" w:type="pct"/>
            <w:gridSpan w:val="2"/>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弧形钢闸门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底槛高程</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水电站主要建筑物</w:t>
            </w:r>
          </w:p>
        </w:tc>
        <w:tc>
          <w:tcPr>
            <w:tcW w:w="909" w:type="pct"/>
            <w:vAlign w:val="center"/>
          </w:tcPr>
          <w:p>
            <w:pPr>
              <w:pStyle w:val="8"/>
              <w:rPr>
                <w:rFonts w:hint="eastAsia" w:ascii="仿宋_GB2312" w:hAnsi="仿宋_GB2312" w:eastAsia="仿宋_GB2312" w:cs="仿宋_GB2312"/>
                <w:sz w:val="32"/>
                <w:szCs w:val="32"/>
              </w:rPr>
            </w:pPr>
          </w:p>
        </w:tc>
        <w:tc>
          <w:tcPr>
            <w:tcW w:w="598" w:type="pct"/>
            <w:vAlign w:val="center"/>
          </w:tcPr>
          <w:p>
            <w:pPr>
              <w:pStyle w:val="8"/>
              <w:rPr>
                <w:rFonts w:hint="eastAsia" w:ascii="仿宋_GB2312" w:hAnsi="仿宋_GB2312" w:eastAsia="仿宋_GB2312" w:cs="仿宋_GB2312"/>
                <w:sz w:val="32"/>
                <w:szCs w:val="32"/>
              </w:rPr>
            </w:pP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底板面高程</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-3.80</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发电机层地面高程</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m</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4.30</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装机容量</w:t>
            </w:r>
          </w:p>
        </w:tc>
        <w:tc>
          <w:tcPr>
            <w:tcW w:w="909"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kw</w:t>
            </w:r>
          </w:p>
        </w:tc>
        <w:tc>
          <w:tcPr>
            <w:tcW w:w="598"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4×125</w:t>
            </w:r>
          </w:p>
        </w:tc>
        <w:tc>
          <w:tcPr>
            <w:tcW w:w="1224" w:type="pct"/>
            <w:vAlign w:val="center"/>
          </w:tcPr>
          <w:p>
            <w:pPr>
              <w:pStyle w:val="8"/>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水轮机</w:t>
            </w:r>
          </w:p>
        </w:tc>
        <w:tc>
          <w:tcPr>
            <w:tcW w:w="2731" w:type="pct"/>
            <w:gridSpan w:val="3"/>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ZD760-LM-100型轴流式水轮机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pct"/>
            <w:vAlign w:val="center"/>
          </w:tcPr>
          <w:p>
            <w:pPr>
              <w:pStyle w:val="8"/>
              <w:rPr>
                <w:rFonts w:hint="eastAsia" w:ascii="仿宋_GB2312" w:hAnsi="仿宋_GB2312" w:eastAsia="仿宋_GB2312" w:cs="仿宋_GB2312"/>
                <w:sz w:val="32"/>
                <w:szCs w:val="32"/>
              </w:rPr>
            </w:pPr>
          </w:p>
        </w:tc>
        <w:tc>
          <w:tcPr>
            <w:tcW w:w="1824" w:type="pct"/>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发电机</w:t>
            </w:r>
          </w:p>
        </w:tc>
        <w:tc>
          <w:tcPr>
            <w:tcW w:w="2731" w:type="pct"/>
            <w:gridSpan w:val="3"/>
            <w:vAlign w:val="center"/>
          </w:tcPr>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SF125-22/118型立式发电机</w:t>
            </w:r>
          </w:p>
        </w:tc>
      </w:tr>
    </w:tbl>
    <w:p>
      <w:pPr>
        <w:ind w:firstLine="48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注：资料来源《广东省吴川市塘尾分洪闸安全评价安全评价报告》。</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跟据，多年平均径流总量和年时段推算出多年平均流量，公式如下：</w:t>
      </w:r>
    </w:p>
    <w:p>
      <w:pPr>
        <w:ind w:firstLine="0" w:firstLineChars="0"/>
        <w:rPr>
          <w:rFonts w:hint="eastAsia" w:ascii="仿宋_GB2312" w:hAnsi="仿宋_GB2312" w:eastAsia="仿宋_GB2312" w:cs="仿宋_GB2312"/>
          <w:b/>
          <w:sz w:val="32"/>
          <w:szCs w:val="32"/>
        </w:rPr>
      </w:pPr>
      <m:oMathPara>
        <m:oMath>
          <m:acc>
            <m:accPr>
              <m:chr m:val="̅"/>
              <m:ctrlPr>
                <w:rPr>
                  <w:rFonts w:hint="eastAsia" w:ascii="Cambria Math" w:hAnsi="Cambria Math" w:eastAsia="仿宋_GB2312" w:cs="仿宋_GB2312"/>
                  <w:b/>
                  <w:sz w:val="32"/>
                  <w:szCs w:val="32"/>
                </w:rPr>
              </m:ctrlPr>
            </m:accPr>
            <m:e>
              <m:r>
                <m:rPr>
                  <m:sty m:val="b"/>
                </m:rPr>
                <w:rPr>
                  <w:rFonts w:hint="eastAsia" w:ascii="Cambria Math" w:hAnsi="Cambria Math" w:eastAsia="仿宋_GB2312" w:cs="仿宋_GB2312"/>
                  <w:sz w:val="32"/>
                  <w:szCs w:val="32"/>
                </w:rPr>
                <m:t>W</m:t>
              </m:r>
              <m:ctrlPr>
                <w:rPr>
                  <w:rFonts w:hint="eastAsia" w:ascii="Cambria Math" w:hAnsi="Cambria Math" w:eastAsia="仿宋_GB2312" w:cs="仿宋_GB2312"/>
                  <w:b/>
                  <w:sz w:val="32"/>
                  <w:szCs w:val="32"/>
                </w:rPr>
              </m:ctrlPr>
            </m:e>
          </m:acc>
          <m:r>
            <m:rPr>
              <m:sty m:val="b"/>
            </m:rPr>
            <w:rPr>
              <w:rFonts w:hint="eastAsia" w:ascii="Cambria Math" w:hAnsi="Cambria Math" w:eastAsia="仿宋_GB2312" w:cs="仿宋_GB2312"/>
              <w:sz w:val="32"/>
              <w:szCs w:val="32"/>
            </w:rPr>
            <m:t>=</m:t>
          </m:r>
          <m:acc>
            <m:accPr>
              <m:chr m:val="̅"/>
              <m:ctrlPr>
                <w:rPr>
                  <w:rFonts w:hint="eastAsia" w:ascii="Cambria Math" w:hAnsi="Cambria Math" w:eastAsia="仿宋_GB2312" w:cs="仿宋_GB2312"/>
                  <w:b/>
                  <w:sz w:val="32"/>
                  <w:szCs w:val="32"/>
                </w:rPr>
              </m:ctrlPr>
            </m:accPr>
            <m:e>
              <m:r>
                <m:rPr>
                  <m:sty m:val="b"/>
                </m:rPr>
                <w:rPr>
                  <w:rFonts w:hint="eastAsia" w:ascii="Cambria Math" w:hAnsi="Cambria Math" w:eastAsia="仿宋_GB2312" w:cs="仿宋_GB2312"/>
                  <w:sz w:val="32"/>
                  <w:szCs w:val="32"/>
                </w:rPr>
                <m:t>Q</m:t>
              </m:r>
              <m:ctrlPr>
                <w:rPr>
                  <w:rFonts w:hint="eastAsia" w:ascii="Cambria Math" w:hAnsi="Cambria Math" w:eastAsia="仿宋_GB2312" w:cs="仿宋_GB2312"/>
                  <w:b/>
                  <w:sz w:val="32"/>
                  <w:szCs w:val="32"/>
                </w:rPr>
              </m:ctrlPr>
            </m:e>
          </m:acc>
          <m:r>
            <m:rPr>
              <m:sty m:val="b"/>
            </m:rPr>
            <w:rPr>
              <w:rFonts w:hint="eastAsia" w:ascii="Cambria Math" w:hAnsi="Cambria Math" w:eastAsia="仿宋_GB2312" w:cs="仿宋_GB2312"/>
              <w:sz w:val="32"/>
              <w:szCs w:val="32"/>
            </w:rPr>
            <m:t>T</m:t>
          </m:r>
        </m:oMath>
      </m:oMathPara>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式中：</w:t>
      </w:r>
      <m:oMath>
        <m:acc>
          <m:accPr>
            <m:chr m:val="̅"/>
            <m:ctrlPr>
              <w:rPr>
                <w:rFonts w:hint="eastAsia" w:ascii="Cambria Math" w:hAnsi="Cambria Math" w:eastAsia="仿宋_GB2312" w:cs="仿宋_GB2312"/>
                <w:sz w:val="32"/>
                <w:szCs w:val="32"/>
              </w:rPr>
            </m:ctrlPr>
          </m:accPr>
          <m:e>
            <m:r>
              <m:rPr>
                <m:sty m:val="b"/>
              </m:rPr>
              <w:rPr>
                <w:rFonts w:hint="eastAsia" w:ascii="Cambria Math" w:hAnsi="Cambria Math" w:eastAsia="仿宋_GB2312" w:cs="仿宋_GB2312"/>
                <w:sz w:val="32"/>
                <w:szCs w:val="32"/>
              </w:rPr>
              <m:t>W</m:t>
            </m:r>
            <m:ctrlPr>
              <w:rPr>
                <w:rFonts w:hint="eastAsia" w:ascii="Cambria Math" w:hAnsi="Cambria Math" w:eastAsia="仿宋_GB2312" w:cs="仿宋_GB2312"/>
                <w:sz w:val="32"/>
                <w:szCs w:val="32"/>
              </w:rPr>
            </m:ctrlPr>
          </m:e>
        </m:acc>
      </m:oMath>
      <w:r>
        <w:rPr>
          <w:rFonts w:hint="eastAsia" w:ascii="仿宋_GB2312" w:hAnsi="仿宋_GB2312" w:eastAsia="仿宋_GB2312" w:cs="仿宋_GB2312"/>
          <w:sz w:val="32"/>
          <w:szCs w:val="32"/>
        </w:rPr>
        <w:t>——多年平均径流总量，51.4亿m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m:oMath>
        <m:acc>
          <m:accPr>
            <m:chr m:val="̅"/>
            <m:ctrlPr>
              <w:rPr>
                <w:rFonts w:hint="eastAsia" w:ascii="Cambria Math" w:hAnsi="Cambria Math" w:eastAsia="仿宋_GB2312" w:cs="仿宋_GB2312"/>
                <w:b/>
                <w:sz w:val="32"/>
                <w:szCs w:val="32"/>
              </w:rPr>
            </m:ctrlPr>
          </m:accPr>
          <m:e>
            <m:r>
              <m:rPr>
                <m:sty m:val="b"/>
              </m:rPr>
              <w:rPr>
                <w:rFonts w:hint="eastAsia" w:ascii="Cambria Math" w:hAnsi="Cambria Math" w:eastAsia="仿宋_GB2312" w:cs="仿宋_GB2312"/>
                <w:sz w:val="32"/>
                <w:szCs w:val="32"/>
              </w:rPr>
              <m:t>Q</m:t>
            </m:r>
            <m:ctrlPr>
              <w:rPr>
                <w:rFonts w:hint="eastAsia" w:ascii="Cambria Math" w:hAnsi="Cambria Math" w:eastAsia="仿宋_GB2312" w:cs="仿宋_GB2312"/>
                <w:b/>
                <w:sz w:val="32"/>
                <w:szCs w:val="32"/>
              </w:rPr>
            </m:ctrlPr>
          </m:e>
        </m:acc>
      </m:oMath>
      <w:r>
        <w:rPr>
          <w:rFonts w:hint="eastAsia" w:ascii="仿宋_GB2312" w:hAnsi="仿宋_GB2312" w:eastAsia="仿宋_GB2312" w:cs="仿宋_GB2312"/>
          <w:sz w:val="32"/>
          <w:szCs w:val="32"/>
        </w:rPr>
        <w:t>——多年平均流量，m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/s；</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m:oMath>
        <m:r>
          <m:rPr>
            <m:sty m:val="b"/>
          </m:rPr>
          <w:rPr>
            <w:rFonts w:hint="eastAsia" w:ascii="Cambria Math" w:hAnsi="Cambria Math" w:eastAsia="仿宋_GB2312" w:cs="仿宋_GB2312"/>
            <w:sz w:val="32"/>
            <w:szCs w:val="32"/>
          </w:rPr>
          <m:t>T</m:t>
        </m:r>
      </m:oMath>
      <w:r>
        <w:rPr>
          <w:rFonts w:hint="eastAsia" w:ascii="仿宋_GB2312" w:hAnsi="仿宋_GB2312" w:eastAsia="仿宋_GB2312" w:cs="仿宋_GB2312"/>
          <w:sz w:val="32"/>
          <w:szCs w:val="32"/>
        </w:rPr>
        <w:t>——年计算时段，31536000s。</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跟据上述公式，计算出多年平均流量为164m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/s。</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根据《广东省吴川市塘尾分洪闸安全评价安全评价报告》年平均流量为164m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/s，根据水务部门了解，流向塘尾水电站的流量是鉴江多年平均流量的70%，其余30%流量流向吴阳拦河坝，采用多年平均流量的10%作为水电站断面生态流量，因此应保证有11.48m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/s的下泄流量。</w:t>
      </w:r>
    </w:p>
    <w:p>
      <w:pPr>
        <w:ind w:firstLine="560"/>
        <w:rPr>
          <w:rFonts w:hint="default"/>
          <w:lang w:val="en-US" w:eastAsia="zh-CN"/>
        </w:rPr>
      </w:pPr>
      <w:r>
        <w:rPr>
          <w:rFonts w:hint="eastAsia" w:ascii="仿宋_GB2312" w:hAnsi="仿宋_GB2312" w:eastAsia="仿宋_GB2312" w:cs="仿宋_GB2312"/>
          <w:sz w:val="32"/>
          <w:szCs w:val="32"/>
        </w:rPr>
        <w:t>当天然来水流量小于等于核定生态流量时，按天然来水流量泄放；防洪、抗旱、应急调度等特殊情况下可根据相关要求暂停泄放或分时段泄放。满足下游的生态环境需水。</w:t>
      </w:r>
    </w:p>
    <w:sectPr>
      <w:headerReference r:id="rId3" w:type="default"/>
      <w:footerReference r:id="rId4" w:type="default"/>
      <w:pgSz w:w="11850" w:h="16840"/>
      <w:pgMar w:top="3119" w:right="1644" w:bottom="153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Cambria Math">
    <w:altName w:val="DejaVu Math TeX Gyre"/>
    <w:panose1 w:val="02040503050406030204"/>
    <w:charset w:val="00"/>
    <w:family w:val="roman"/>
    <w:pitch w:val="default"/>
    <w:sig w:usb0="00000000" w:usb1="00000000" w:usb2="02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C4"/>
    <w:rsid w:val="00007936"/>
    <w:rsid w:val="00020927"/>
    <w:rsid w:val="0002092E"/>
    <w:rsid w:val="00020C5C"/>
    <w:rsid w:val="00027D0B"/>
    <w:rsid w:val="00036BEC"/>
    <w:rsid w:val="000511D5"/>
    <w:rsid w:val="00057BC4"/>
    <w:rsid w:val="00061345"/>
    <w:rsid w:val="0006344F"/>
    <w:rsid w:val="000754B8"/>
    <w:rsid w:val="0008497B"/>
    <w:rsid w:val="000A36F7"/>
    <w:rsid w:val="000B78FD"/>
    <w:rsid w:val="000C17B5"/>
    <w:rsid w:val="000C1ED4"/>
    <w:rsid w:val="000C66B8"/>
    <w:rsid w:val="000D04FC"/>
    <w:rsid w:val="000E094E"/>
    <w:rsid w:val="000E09C2"/>
    <w:rsid w:val="000E0D94"/>
    <w:rsid w:val="000F0697"/>
    <w:rsid w:val="000F408F"/>
    <w:rsid w:val="000F675C"/>
    <w:rsid w:val="001037E4"/>
    <w:rsid w:val="00103E47"/>
    <w:rsid w:val="001047EC"/>
    <w:rsid w:val="001078FE"/>
    <w:rsid w:val="001116ED"/>
    <w:rsid w:val="00114B1C"/>
    <w:rsid w:val="0012188D"/>
    <w:rsid w:val="00124672"/>
    <w:rsid w:val="00125616"/>
    <w:rsid w:val="00125D40"/>
    <w:rsid w:val="00130004"/>
    <w:rsid w:val="00132DCB"/>
    <w:rsid w:val="001410ED"/>
    <w:rsid w:val="00146E76"/>
    <w:rsid w:val="00151F2D"/>
    <w:rsid w:val="001561C2"/>
    <w:rsid w:val="001575DB"/>
    <w:rsid w:val="00162889"/>
    <w:rsid w:val="00172521"/>
    <w:rsid w:val="00177448"/>
    <w:rsid w:val="001845DB"/>
    <w:rsid w:val="001846B1"/>
    <w:rsid w:val="00186DAC"/>
    <w:rsid w:val="00191D2B"/>
    <w:rsid w:val="001A01ED"/>
    <w:rsid w:val="001A1570"/>
    <w:rsid w:val="001A1E34"/>
    <w:rsid w:val="001A48D2"/>
    <w:rsid w:val="001A77D2"/>
    <w:rsid w:val="001B1D81"/>
    <w:rsid w:val="001B3B62"/>
    <w:rsid w:val="001E6ECF"/>
    <w:rsid w:val="001F5C56"/>
    <w:rsid w:val="002128E1"/>
    <w:rsid w:val="002214F9"/>
    <w:rsid w:val="00227ADE"/>
    <w:rsid w:val="00232998"/>
    <w:rsid w:val="00242FA7"/>
    <w:rsid w:val="00244A87"/>
    <w:rsid w:val="0024563C"/>
    <w:rsid w:val="00254D25"/>
    <w:rsid w:val="002614E7"/>
    <w:rsid w:val="00292BC4"/>
    <w:rsid w:val="0029376D"/>
    <w:rsid w:val="002C1909"/>
    <w:rsid w:val="002C622E"/>
    <w:rsid w:val="002C71D9"/>
    <w:rsid w:val="002E6FB8"/>
    <w:rsid w:val="002F0433"/>
    <w:rsid w:val="002F6E4B"/>
    <w:rsid w:val="0030535C"/>
    <w:rsid w:val="003273D8"/>
    <w:rsid w:val="00327DC1"/>
    <w:rsid w:val="003337EB"/>
    <w:rsid w:val="00333CC8"/>
    <w:rsid w:val="00334233"/>
    <w:rsid w:val="00334E43"/>
    <w:rsid w:val="00336DF0"/>
    <w:rsid w:val="00344E9A"/>
    <w:rsid w:val="00346C1E"/>
    <w:rsid w:val="00351892"/>
    <w:rsid w:val="003603BD"/>
    <w:rsid w:val="00372FE8"/>
    <w:rsid w:val="00375DAF"/>
    <w:rsid w:val="00376838"/>
    <w:rsid w:val="00385C4A"/>
    <w:rsid w:val="00396EC6"/>
    <w:rsid w:val="00397F6E"/>
    <w:rsid w:val="003A3A47"/>
    <w:rsid w:val="003A59E2"/>
    <w:rsid w:val="003A6DF8"/>
    <w:rsid w:val="003B42FB"/>
    <w:rsid w:val="003C6239"/>
    <w:rsid w:val="003C7BCE"/>
    <w:rsid w:val="003D600F"/>
    <w:rsid w:val="003E3DF7"/>
    <w:rsid w:val="003E5605"/>
    <w:rsid w:val="003F21E2"/>
    <w:rsid w:val="003F7BB0"/>
    <w:rsid w:val="003F7F91"/>
    <w:rsid w:val="00401A25"/>
    <w:rsid w:val="00403B43"/>
    <w:rsid w:val="00403F61"/>
    <w:rsid w:val="00404C6C"/>
    <w:rsid w:val="00407101"/>
    <w:rsid w:val="004219B6"/>
    <w:rsid w:val="00440A21"/>
    <w:rsid w:val="0045037A"/>
    <w:rsid w:val="004657CC"/>
    <w:rsid w:val="004670DC"/>
    <w:rsid w:val="0048573D"/>
    <w:rsid w:val="00495B25"/>
    <w:rsid w:val="004A2041"/>
    <w:rsid w:val="004A4F4B"/>
    <w:rsid w:val="004B62E8"/>
    <w:rsid w:val="004B7928"/>
    <w:rsid w:val="004C18DE"/>
    <w:rsid w:val="004C1F0D"/>
    <w:rsid w:val="004D35DF"/>
    <w:rsid w:val="004E51A1"/>
    <w:rsid w:val="004E57FF"/>
    <w:rsid w:val="004F0C84"/>
    <w:rsid w:val="004F170F"/>
    <w:rsid w:val="004F1B09"/>
    <w:rsid w:val="004F6ED0"/>
    <w:rsid w:val="005042C6"/>
    <w:rsid w:val="0054342D"/>
    <w:rsid w:val="00566DF3"/>
    <w:rsid w:val="005672B6"/>
    <w:rsid w:val="00584A7B"/>
    <w:rsid w:val="00584E3A"/>
    <w:rsid w:val="00596291"/>
    <w:rsid w:val="0059683F"/>
    <w:rsid w:val="005B2A68"/>
    <w:rsid w:val="005C0FD6"/>
    <w:rsid w:val="005C62FA"/>
    <w:rsid w:val="005C65BF"/>
    <w:rsid w:val="005D47BF"/>
    <w:rsid w:val="005D6EE0"/>
    <w:rsid w:val="005F4C4C"/>
    <w:rsid w:val="00613CE5"/>
    <w:rsid w:val="00623DF1"/>
    <w:rsid w:val="00624194"/>
    <w:rsid w:val="00627C99"/>
    <w:rsid w:val="00630768"/>
    <w:rsid w:val="006317E0"/>
    <w:rsid w:val="006319FD"/>
    <w:rsid w:val="00641AE8"/>
    <w:rsid w:val="0064315A"/>
    <w:rsid w:val="00681158"/>
    <w:rsid w:val="00686A5F"/>
    <w:rsid w:val="0069024F"/>
    <w:rsid w:val="00692D9C"/>
    <w:rsid w:val="00694C12"/>
    <w:rsid w:val="00696413"/>
    <w:rsid w:val="006C26C9"/>
    <w:rsid w:val="006C48A2"/>
    <w:rsid w:val="006C7BDB"/>
    <w:rsid w:val="006D059B"/>
    <w:rsid w:val="006D66C7"/>
    <w:rsid w:val="006F43E5"/>
    <w:rsid w:val="006F689F"/>
    <w:rsid w:val="006F776E"/>
    <w:rsid w:val="00701313"/>
    <w:rsid w:val="00702A9F"/>
    <w:rsid w:val="00704D3A"/>
    <w:rsid w:val="00715C1D"/>
    <w:rsid w:val="007242E7"/>
    <w:rsid w:val="00726F1B"/>
    <w:rsid w:val="007271E4"/>
    <w:rsid w:val="007307D1"/>
    <w:rsid w:val="00736BF6"/>
    <w:rsid w:val="00737034"/>
    <w:rsid w:val="00740DF3"/>
    <w:rsid w:val="007473AA"/>
    <w:rsid w:val="00753226"/>
    <w:rsid w:val="007548FA"/>
    <w:rsid w:val="007637FF"/>
    <w:rsid w:val="00765ADD"/>
    <w:rsid w:val="00766225"/>
    <w:rsid w:val="00785B7E"/>
    <w:rsid w:val="007A5D9A"/>
    <w:rsid w:val="007C5182"/>
    <w:rsid w:val="007C6F73"/>
    <w:rsid w:val="007D47C7"/>
    <w:rsid w:val="007E702D"/>
    <w:rsid w:val="007F5D04"/>
    <w:rsid w:val="00807696"/>
    <w:rsid w:val="00810B0C"/>
    <w:rsid w:val="0081478F"/>
    <w:rsid w:val="00817B92"/>
    <w:rsid w:val="008252F8"/>
    <w:rsid w:val="00827AE4"/>
    <w:rsid w:val="00837999"/>
    <w:rsid w:val="00843BC1"/>
    <w:rsid w:val="008507FA"/>
    <w:rsid w:val="00852A3E"/>
    <w:rsid w:val="00856A90"/>
    <w:rsid w:val="00857DE0"/>
    <w:rsid w:val="00860D1F"/>
    <w:rsid w:val="008644B4"/>
    <w:rsid w:val="00866FD6"/>
    <w:rsid w:val="00872324"/>
    <w:rsid w:val="00874E56"/>
    <w:rsid w:val="00875EDD"/>
    <w:rsid w:val="0088345E"/>
    <w:rsid w:val="00884384"/>
    <w:rsid w:val="00884E4F"/>
    <w:rsid w:val="008A52D5"/>
    <w:rsid w:val="008B061E"/>
    <w:rsid w:val="008B32F0"/>
    <w:rsid w:val="008C1E66"/>
    <w:rsid w:val="008D01DD"/>
    <w:rsid w:val="008D06E2"/>
    <w:rsid w:val="008F25BE"/>
    <w:rsid w:val="008F2AAF"/>
    <w:rsid w:val="008F2FA2"/>
    <w:rsid w:val="008F366F"/>
    <w:rsid w:val="009049E4"/>
    <w:rsid w:val="0090613A"/>
    <w:rsid w:val="00912BF1"/>
    <w:rsid w:val="00912BF5"/>
    <w:rsid w:val="00912E0D"/>
    <w:rsid w:val="00926DCF"/>
    <w:rsid w:val="00927C80"/>
    <w:rsid w:val="00932754"/>
    <w:rsid w:val="0094754E"/>
    <w:rsid w:val="00960DF0"/>
    <w:rsid w:val="00967B25"/>
    <w:rsid w:val="00970444"/>
    <w:rsid w:val="00977546"/>
    <w:rsid w:val="009778C5"/>
    <w:rsid w:val="009812FC"/>
    <w:rsid w:val="00982490"/>
    <w:rsid w:val="009851BA"/>
    <w:rsid w:val="0098540A"/>
    <w:rsid w:val="00985806"/>
    <w:rsid w:val="00985FCA"/>
    <w:rsid w:val="00993F56"/>
    <w:rsid w:val="00995224"/>
    <w:rsid w:val="009A69C5"/>
    <w:rsid w:val="009B32F1"/>
    <w:rsid w:val="009C6F29"/>
    <w:rsid w:val="009D1294"/>
    <w:rsid w:val="009D4304"/>
    <w:rsid w:val="009F0FED"/>
    <w:rsid w:val="00A067C3"/>
    <w:rsid w:val="00A21482"/>
    <w:rsid w:val="00A226CF"/>
    <w:rsid w:val="00A32EA7"/>
    <w:rsid w:val="00A37E92"/>
    <w:rsid w:val="00A415DF"/>
    <w:rsid w:val="00A5308E"/>
    <w:rsid w:val="00A56C44"/>
    <w:rsid w:val="00A64D75"/>
    <w:rsid w:val="00A72684"/>
    <w:rsid w:val="00A76466"/>
    <w:rsid w:val="00A84740"/>
    <w:rsid w:val="00A865A6"/>
    <w:rsid w:val="00A90712"/>
    <w:rsid w:val="00A94C86"/>
    <w:rsid w:val="00A966F0"/>
    <w:rsid w:val="00A97365"/>
    <w:rsid w:val="00AA4F0B"/>
    <w:rsid w:val="00AB1299"/>
    <w:rsid w:val="00AB1509"/>
    <w:rsid w:val="00AB2DD8"/>
    <w:rsid w:val="00AB3598"/>
    <w:rsid w:val="00AD19D5"/>
    <w:rsid w:val="00AD2A8B"/>
    <w:rsid w:val="00AD46D6"/>
    <w:rsid w:val="00AD51F6"/>
    <w:rsid w:val="00AE1278"/>
    <w:rsid w:val="00AE2317"/>
    <w:rsid w:val="00AF0343"/>
    <w:rsid w:val="00AF1B60"/>
    <w:rsid w:val="00AF3EE3"/>
    <w:rsid w:val="00B122F9"/>
    <w:rsid w:val="00B20348"/>
    <w:rsid w:val="00B21DB2"/>
    <w:rsid w:val="00B31BB5"/>
    <w:rsid w:val="00B40026"/>
    <w:rsid w:val="00B41AB4"/>
    <w:rsid w:val="00B428D7"/>
    <w:rsid w:val="00B44D04"/>
    <w:rsid w:val="00B55491"/>
    <w:rsid w:val="00B56EB9"/>
    <w:rsid w:val="00B63A93"/>
    <w:rsid w:val="00B64678"/>
    <w:rsid w:val="00B75DDA"/>
    <w:rsid w:val="00B82031"/>
    <w:rsid w:val="00B86888"/>
    <w:rsid w:val="00B87E35"/>
    <w:rsid w:val="00B96921"/>
    <w:rsid w:val="00B96AEF"/>
    <w:rsid w:val="00BA7202"/>
    <w:rsid w:val="00BB7C8C"/>
    <w:rsid w:val="00BC1932"/>
    <w:rsid w:val="00BC2B45"/>
    <w:rsid w:val="00BC387E"/>
    <w:rsid w:val="00BC5560"/>
    <w:rsid w:val="00BD5C54"/>
    <w:rsid w:val="00BE62D4"/>
    <w:rsid w:val="00BF3058"/>
    <w:rsid w:val="00C00799"/>
    <w:rsid w:val="00C073FD"/>
    <w:rsid w:val="00C1752C"/>
    <w:rsid w:val="00C25092"/>
    <w:rsid w:val="00C37D5D"/>
    <w:rsid w:val="00C41312"/>
    <w:rsid w:val="00C42F8D"/>
    <w:rsid w:val="00C443B6"/>
    <w:rsid w:val="00C450F5"/>
    <w:rsid w:val="00C50A80"/>
    <w:rsid w:val="00C5202A"/>
    <w:rsid w:val="00C564CE"/>
    <w:rsid w:val="00C639D6"/>
    <w:rsid w:val="00C64CC7"/>
    <w:rsid w:val="00C75A44"/>
    <w:rsid w:val="00C80B56"/>
    <w:rsid w:val="00C91017"/>
    <w:rsid w:val="00CA0D72"/>
    <w:rsid w:val="00CA3DF9"/>
    <w:rsid w:val="00CA53AD"/>
    <w:rsid w:val="00CB6DBF"/>
    <w:rsid w:val="00CB7436"/>
    <w:rsid w:val="00CB7FAD"/>
    <w:rsid w:val="00CC336B"/>
    <w:rsid w:val="00CC7C48"/>
    <w:rsid w:val="00CF73CC"/>
    <w:rsid w:val="00D06842"/>
    <w:rsid w:val="00D122EA"/>
    <w:rsid w:val="00D129C8"/>
    <w:rsid w:val="00D176A2"/>
    <w:rsid w:val="00D2111B"/>
    <w:rsid w:val="00D2614F"/>
    <w:rsid w:val="00D27A99"/>
    <w:rsid w:val="00D342B1"/>
    <w:rsid w:val="00D3497D"/>
    <w:rsid w:val="00D35EA0"/>
    <w:rsid w:val="00D37A05"/>
    <w:rsid w:val="00D54956"/>
    <w:rsid w:val="00D54E74"/>
    <w:rsid w:val="00D5781E"/>
    <w:rsid w:val="00D61134"/>
    <w:rsid w:val="00D7295A"/>
    <w:rsid w:val="00D80246"/>
    <w:rsid w:val="00D910C9"/>
    <w:rsid w:val="00D93E1F"/>
    <w:rsid w:val="00D94E7D"/>
    <w:rsid w:val="00D950CD"/>
    <w:rsid w:val="00DA36AE"/>
    <w:rsid w:val="00DA4247"/>
    <w:rsid w:val="00DB5CAB"/>
    <w:rsid w:val="00DB6213"/>
    <w:rsid w:val="00DD1451"/>
    <w:rsid w:val="00DD1911"/>
    <w:rsid w:val="00DE6FBE"/>
    <w:rsid w:val="00E03D3C"/>
    <w:rsid w:val="00E0785F"/>
    <w:rsid w:val="00E07DE5"/>
    <w:rsid w:val="00E174B1"/>
    <w:rsid w:val="00E21D93"/>
    <w:rsid w:val="00E40AE7"/>
    <w:rsid w:val="00E52305"/>
    <w:rsid w:val="00E603DC"/>
    <w:rsid w:val="00E669FD"/>
    <w:rsid w:val="00E67B7C"/>
    <w:rsid w:val="00E774C9"/>
    <w:rsid w:val="00E827D7"/>
    <w:rsid w:val="00E86067"/>
    <w:rsid w:val="00EA4099"/>
    <w:rsid w:val="00EA4B67"/>
    <w:rsid w:val="00EB153C"/>
    <w:rsid w:val="00EB24FD"/>
    <w:rsid w:val="00EC2203"/>
    <w:rsid w:val="00EC4706"/>
    <w:rsid w:val="00ED6B69"/>
    <w:rsid w:val="00EE06CE"/>
    <w:rsid w:val="00EE6AF2"/>
    <w:rsid w:val="00EF1526"/>
    <w:rsid w:val="00EF212D"/>
    <w:rsid w:val="00EF5794"/>
    <w:rsid w:val="00EF5B44"/>
    <w:rsid w:val="00F04B6D"/>
    <w:rsid w:val="00F25761"/>
    <w:rsid w:val="00F276D3"/>
    <w:rsid w:val="00F30E57"/>
    <w:rsid w:val="00F5792A"/>
    <w:rsid w:val="00F735A6"/>
    <w:rsid w:val="00F74834"/>
    <w:rsid w:val="00F865C1"/>
    <w:rsid w:val="00F919E8"/>
    <w:rsid w:val="00F95A40"/>
    <w:rsid w:val="00FA0493"/>
    <w:rsid w:val="00FA4712"/>
    <w:rsid w:val="00FB7321"/>
    <w:rsid w:val="00FC2EBE"/>
    <w:rsid w:val="00FC6D36"/>
    <w:rsid w:val="00FD432F"/>
    <w:rsid w:val="00FE652C"/>
    <w:rsid w:val="04181EB5"/>
    <w:rsid w:val="051B0200"/>
    <w:rsid w:val="221A0493"/>
    <w:rsid w:val="25D465EE"/>
    <w:rsid w:val="27F26FF1"/>
    <w:rsid w:val="2B863158"/>
    <w:rsid w:val="335E37C1"/>
    <w:rsid w:val="37B1659B"/>
    <w:rsid w:val="3AEF073E"/>
    <w:rsid w:val="3DF9D75E"/>
    <w:rsid w:val="45280308"/>
    <w:rsid w:val="51A019BB"/>
    <w:rsid w:val="52996ACE"/>
    <w:rsid w:val="5A943694"/>
    <w:rsid w:val="5D63CEAB"/>
    <w:rsid w:val="6CA16A6E"/>
    <w:rsid w:val="7FE6C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9"/>
    <w:pPr>
      <w:keepNext/>
      <w:ind w:firstLine="0" w:firstLineChars="0"/>
      <w:jc w:val="left"/>
      <w:outlineLvl w:val="3"/>
    </w:pPr>
    <w:rPr>
      <w:b/>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35"/>
    <w:pPr>
      <w:ind w:firstLine="0" w:firstLineChars="0"/>
      <w:jc w:val="center"/>
    </w:pPr>
    <w:rPr>
      <w:b/>
      <w:sz w:val="24"/>
    </w:rPr>
  </w:style>
  <w:style w:type="paragraph" w:styleId="4">
    <w:name w:val="footer"/>
    <w:basedOn w:val="1"/>
    <w:unhideWhenUsed/>
    <w:qFormat/>
    <w:uiPriority w:val="99"/>
    <w:pPr>
      <w:pBdr>
        <w:top w:val="single" w:color="auto" w:sz="4" w:space="1"/>
      </w:pBdr>
      <w:tabs>
        <w:tab w:val="left" w:pos="2835"/>
      </w:tabs>
      <w:spacing w:line="240" w:lineRule="auto"/>
      <w:ind w:firstLine="0" w:firstLineChars="0"/>
      <w:jc w:val="center"/>
    </w:pPr>
    <w:rPr>
      <w:sz w:val="24"/>
    </w:rPr>
  </w:style>
  <w:style w:type="paragraph" w:styleId="5">
    <w:name w:val="header"/>
    <w:basedOn w:val="4"/>
    <w:unhideWhenUsed/>
    <w:qFormat/>
    <w:uiPriority w:val="99"/>
    <w:pPr>
      <w:pBdr>
        <w:top w:val="none" w:color="auto" w:sz="0" w:space="0"/>
        <w:bottom w:val="single" w:color="auto" w:sz="4" w:space="1"/>
      </w:pBdr>
    </w:pPr>
  </w:style>
  <w:style w:type="paragraph" w:styleId="8">
    <w:name w:val="No Spacing"/>
    <w:basedOn w:val="1"/>
    <w:qFormat/>
    <w:uiPriority w:val="99"/>
    <w:pPr>
      <w:spacing w:line="240" w:lineRule="auto"/>
      <w:ind w:firstLine="0" w:firstLineChars="0"/>
      <w:jc w:val="center"/>
    </w:pPr>
    <w:rPr>
      <w:sz w:val="24"/>
    </w:rPr>
  </w:style>
  <w:style w:type="table" w:customStyle="1" w:styleId="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1</Pages>
  <Words>3</Words>
  <Characters>18</Characters>
  <Lines>1</Lines>
  <Paragraphs>1</Paragraphs>
  <TotalTime>2</TotalTime>
  <ScaleCrop>false</ScaleCrop>
  <LinksUpToDate>false</LinksUpToDate>
  <CharactersWithSpaces>20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2021-03-04T02:26:00Z</dcterms:created>
  <dc:creator>Administrator</dc:creator>
  <cp:lastModifiedBy>admin04</cp:lastModifiedBy>
  <dcterms:modified xsi:type="dcterms:W3CDTF">2021-11-29T11:01:46Z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FF4AA55E665B456188A392AE3B589EF5</vt:lpwstr>
  </property>
</Properties>
</file>