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FA" w:rsidRDefault="00DA2FFA" w:rsidP="00DA2FFA">
      <w:pPr>
        <w:pStyle w:val="a3"/>
        <w:widowControl/>
        <w:shd w:val="clear" w:color="auto" w:fill="FFFFFF"/>
        <w:spacing w:beforeAutospacing="0" w:afterAutospacing="0" w:line="600" w:lineRule="exact"/>
        <w:jc w:val="both"/>
        <w:rPr>
          <w:rFonts w:ascii="Times New Roman" w:eastAsia="仿宋_GB2312" w:hAnsi="Times New Roman"/>
          <w:color w:val="333333"/>
          <w:sz w:val="32"/>
          <w:szCs w:val="32"/>
        </w:rPr>
      </w:pPr>
    </w:p>
    <w:p w:rsidR="00DA2FFA" w:rsidRDefault="00DA2FFA" w:rsidP="00DA2FFA">
      <w:pPr>
        <w:pStyle w:val="a3"/>
        <w:widowControl/>
        <w:shd w:val="clear" w:color="auto" w:fill="FFFFFF"/>
        <w:spacing w:beforeAutospacing="0" w:afterAutospacing="0" w:line="600" w:lineRule="exact"/>
        <w:jc w:val="center"/>
        <w:rPr>
          <w:rFonts w:ascii="Times New Roman" w:eastAsia="方正小标宋简体" w:hAnsi="Times New Roman"/>
          <w:color w:val="000000"/>
          <w:sz w:val="44"/>
          <w:szCs w:val="44"/>
          <w:shd w:val="clear" w:color="auto" w:fill="FFFFFF"/>
        </w:rPr>
      </w:pPr>
      <w:r>
        <w:rPr>
          <w:rFonts w:ascii="Times New Roman" w:eastAsia="方正小标宋简体" w:hAnsi="Times New Roman"/>
          <w:color w:val="000000"/>
          <w:sz w:val="44"/>
          <w:szCs w:val="44"/>
          <w:shd w:val="clear" w:color="auto" w:fill="FFFFFF"/>
        </w:rPr>
        <w:t>吴川市大山江街道办事处</w:t>
      </w:r>
      <w:r>
        <w:rPr>
          <w:rFonts w:ascii="Times New Roman" w:eastAsia="方正小标宋简体" w:hAnsi="Times New Roman"/>
          <w:color w:val="000000"/>
          <w:sz w:val="44"/>
          <w:szCs w:val="44"/>
          <w:shd w:val="clear" w:color="auto" w:fill="FFFFFF"/>
        </w:rPr>
        <w:t>2019</w:t>
      </w:r>
      <w:r>
        <w:rPr>
          <w:rFonts w:ascii="Times New Roman" w:eastAsia="方正小标宋简体" w:hAnsi="Times New Roman"/>
          <w:color w:val="000000"/>
          <w:sz w:val="44"/>
          <w:szCs w:val="44"/>
          <w:shd w:val="clear" w:color="auto" w:fill="FFFFFF"/>
        </w:rPr>
        <w:t>年政府信息公开工作年度报告</w:t>
      </w:r>
    </w:p>
    <w:p w:rsidR="00DA2FFA" w:rsidRDefault="00DA2FFA" w:rsidP="00DA2FFA">
      <w:pPr>
        <w:pStyle w:val="a3"/>
        <w:widowControl/>
        <w:shd w:val="clear" w:color="auto" w:fill="FFFFFF"/>
        <w:spacing w:beforeAutospacing="0" w:afterAutospacing="0" w:line="600" w:lineRule="exact"/>
        <w:jc w:val="center"/>
        <w:rPr>
          <w:rFonts w:ascii="Times New Roman" w:eastAsia="仿宋_GB2312" w:hAnsi="Times New Roman"/>
          <w:color w:val="000000"/>
          <w:sz w:val="32"/>
          <w:szCs w:val="32"/>
          <w:shd w:val="clear" w:color="auto" w:fill="FFFFFF"/>
        </w:rPr>
      </w:pPr>
    </w:p>
    <w:p w:rsidR="00DA2FFA" w:rsidRDefault="00DA2FFA" w:rsidP="00DA2FFA">
      <w:pPr>
        <w:pStyle w:val="a3"/>
        <w:widowControl/>
        <w:shd w:val="clear" w:color="auto" w:fill="FFFFFF"/>
        <w:spacing w:beforeAutospacing="0" w:afterAutospacing="0" w:line="600" w:lineRule="exact"/>
        <w:ind w:firstLine="640"/>
        <w:rPr>
          <w:rFonts w:ascii="Times New Roman" w:eastAsia="仿宋_GB2312" w:hAnsi="Times New Roman"/>
          <w:color w:val="000000"/>
          <w:sz w:val="32"/>
          <w:szCs w:val="32"/>
          <w:shd w:val="clear" w:color="auto" w:fill="FFFFFF"/>
        </w:rPr>
      </w:pPr>
      <w:r>
        <w:rPr>
          <w:rFonts w:ascii="Times New Roman" w:eastAsia="仿宋_GB2312" w:hAnsi="Times New Roman"/>
          <w:color w:val="000000"/>
          <w:sz w:val="32"/>
          <w:szCs w:val="32"/>
          <w:shd w:val="clear" w:color="auto" w:fill="FFFFFF"/>
        </w:rPr>
        <w:t>根据《中华人民共和国政府信息公开条例》（国令第</w:t>
      </w:r>
      <w:r>
        <w:rPr>
          <w:rFonts w:ascii="Times New Roman" w:eastAsia="仿宋_GB2312" w:hAnsi="Times New Roman"/>
          <w:color w:val="000000"/>
          <w:sz w:val="32"/>
          <w:szCs w:val="32"/>
          <w:shd w:val="clear" w:color="auto" w:fill="FFFFFF"/>
        </w:rPr>
        <w:t>711</w:t>
      </w:r>
      <w:r>
        <w:rPr>
          <w:rFonts w:ascii="Times New Roman" w:eastAsia="仿宋_GB2312" w:hAnsi="Times New Roman"/>
          <w:color w:val="000000"/>
          <w:sz w:val="32"/>
          <w:szCs w:val="32"/>
          <w:shd w:val="clear" w:color="auto" w:fill="FFFFFF"/>
        </w:rPr>
        <w:t>号</w:t>
      </w:r>
      <w:r>
        <w:rPr>
          <w:rFonts w:ascii="Times New Roman" w:eastAsia="仿宋_GB2312" w:hAnsi="Times New Roman"/>
          <w:color w:val="000000"/>
          <w:sz w:val="32"/>
          <w:szCs w:val="32"/>
          <w:shd w:val="clear" w:color="auto" w:fill="FFFFFF"/>
        </w:rPr>
        <w:t>)</w:t>
      </w:r>
      <w:r>
        <w:rPr>
          <w:rFonts w:ascii="Times New Roman" w:eastAsia="仿宋_GB2312" w:hAnsi="Times New Roman"/>
          <w:color w:val="000000"/>
          <w:sz w:val="32"/>
          <w:szCs w:val="32"/>
          <w:shd w:val="clear" w:color="auto" w:fill="FFFFFF"/>
        </w:rPr>
        <w:t>（以下简称《条例》）、《国务院办公厅政府信息与政务公开办公室关于政府信息公开工作年度报告有关事项的通知》（国办公开办函〔</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w:t>
      </w:r>
      <w:r>
        <w:rPr>
          <w:rFonts w:ascii="Times New Roman" w:eastAsia="仿宋_GB2312" w:hAnsi="Times New Roman"/>
          <w:color w:val="000000"/>
          <w:sz w:val="32"/>
          <w:szCs w:val="32"/>
          <w:shd w:val="clear" w:color="auto" w:fill="FFFFFF"/>
        </w:rPr>
        <w:t>60</w:t>
      </w:r>
      <w:r>
        <w:rPr>
          <w:rFonts w:ascii="Times New Roman" w:eastAsia="仿宋_GB2312" w:hAnsi="Times New Roman"/>
          <w:color w:val="000000"/>
          <w:sz w:val="32"/>
          <w:szCs w:val="32"/>
          <w:shd w:val="clear" w:color="auto" w:fill="FFFFFF"/>
        </w:rPr>
        <w:t>号）及省、湛江市的有关规定，现公布吴川市大山江街道办事处</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年政府信息公开工作年度报告。报告包括</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年</w:t>
      </w:r>
      <w:r>
        <w:rPr>
          <w:rFonts w:ascii="Times New Roman" w:eastAsia="仿宋_GB2312" w:hAnsi="Times New Roman"/>
          <w:color w:val="000000"/>
          <w:sz w:val="32"/>
          <w:szCs w:val="32"/>
          <w:shd w:val="clear" w:color="auto" w:fill="FFFFFF"/>
        </w:rPr>
        <w:t>1</w:t>
      </w:r>
      <w:r>
        <w:rPr>
          <w:rFonts w:ascii="Times New Roman" w:eastAsia="仿宋_GB2312" w:hAnsi="Times New Roman"/>
          <w:color w:val="000000"/>
          <w:sz w:val="32"/>
          <w:szCs w:val="32"/>
          <w:shd w:val="clear" w:color="auto" w:fill="FFFFFF"/>
        </w:rPr>
        <w:t>月</w:t>
      </w:r>
      <w:r>
        <w:rPr>
          <w:rFonts w:ascii="Times New Roman" w:eastAsia="仿宋_GB2312" w:hAnsi="Times New Roman"/>
          <w:color w:val="000000"/>
          <w:sz w:val="32"/>
          <w:szCs w:val="32"/>
          <w:shd w:val="clear" w:color="auto" w:fill="FFFFFF"/>
        </w:rPr>
        <w:t>1</w:t>
      </w:r>
      <w:r>
        <w:rPr>
          <w:rFonts w:ascii="Times New Roman" w:eastAsia="仿宋_GB2312" w:hAnsi="Times New Roman"/>
          <w:color w:val="000000"/>
          <w:sz w:val="32"/>
          <w:szCs w:val="32"/>
          <w:shd w:val="clear" w:color="auto" w:fill="FFFFFF"/>
        </w:rPr>
        <w:t>日至</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年</w:t>
      </w:r>
      <w:r>
        <w:rPr>
          <w:rFonts w:ascii="Times New Roman" w:eastAsia="仿宋_GB2312" w:hAnsi="Times New Roman"/>
          <w:color w:val="000000"/>
          <w:sz w:val="32"/>
          <w:szCs w:val="32"/>
          <w:shd w:val="clear" w:color="auto" w:fill="FFFFFF"/>
        </w:rPr>
        <w:t>12</w:t>
      </w:r>
      <w:r>
        <w:rPr>
          <w:rFonts w:ascii="Times New Roman" w:eastAsia="仿宋_GB2312" w:hAnsi="Times New Roman"/>
          <w:color w:val="000000"/>
          <w:sz w:val="32"/>
          <w:szCs w:val="32"/>
          <w:shd w:val="clear" w:color="auto" w:fill="FFFFFF"/>
        </w:rPr>
        <w:t>月</w:t>
      </w:r>
      <w:r>
        <w:rPr>
          <w:rFonts w:ascii="Times New Roman" w:eastAsia="仿宋_GB2312" w:hAnsi="Times New Roman"/>
          <w:color w:val="000000"/>
          <w:sz w:val="32"/>
          <w:szCs w:val="32"/>
          <w:shd w:val="clear" w:color="auto" w:fill="FFFFFF"/>
        </w:rPr>
        <w:t>31</w:t>
      </w:r>
      <w:r>
        <w:rPr>
          <w:rFonts w:ascii="Times New Roman" w:eastAsia="仿宋_GB2312" w:hAnsi="Times New Roman"/>
          <w:color w:val="000000"/>
          <w:sz w:val="32"/>
          <w:szCs w:val="32"/>
          <w:shd w:val="clear" w:color="auto" w:fill="FFFFFF"/>
        </w:rPr>
        <w:t>日政府信息公开工作总体情况、主动公开、依申请公开、政府信息公开行政复议和行政诉讼、存在问题及改进措施等内容。</w:t>
      </w:r>
      <w:r w:rsidRPr="00DA2FFA">
        <w:rPr>
          <w:rFonts w:ascii="Times New Roman" w:eastAsia="仿宋_GB2312" w:hAnsi="Times New Roman"/>
          <w:color w:val="FF0000"/>
          <w:sz w:val="32"/>
          <w:szCs w:val="32"/>
          <w:shd w:val="clear" w:color="auto" w:fill="FFFFFF"/>
        </w:rPr>
        <w:t>本报告主要通过吴川市人民政府门户网站（</w:t>
      </w:r>
      <w:r w:rsidRPr="00DA2FFA">
        <w:rPr>
          <w:rFonts w:ascii="Times New Roman" w:eastAsia="仿宋_GB2312" w:hAnsi="Times New Roman"/>
          <w:color w:val="FF0000"/>
          <w:sz w:val="32"/>
          <w:szCs w:val="32"/>
          <w:shd w:val="clear" w:color="auto" w:fill="FFFFFF"/>
        </w:rPr>
        <w:t>www.gdwc.gov.cn</w:t>
      </w:r>
      <w:r w:rsidRPr="00DA2FFA">
        <w:rPr>
          <w:rFonts w:ascii="Times New Roman" w:eastAsia="仿宋_GB2312" w:hAnsi="Times New Roman"/>
          <w:color w:val="FF0000"/>
          <w:sz w:val="32"/>
          <w:szCs w:val="32"/>
          <w:shd w:val="clear" w:color="auto" w:fill="FFFFFF"/>
        </w:rPr>
        <w:t>）公布，</w:t>
      </w:r>
      <w:r>
        <w:rPr>
          <w:rFonts w:ascii="Times New Roman" w:eastAsia="仿宋_GB2312" w:hAnsi="Times New Roman"/>
          <w:color w:val="000000"/>
          <w:sz w:val="32"/>
          <w:szCs w:val="32"/>
          <w:shd w:val="clear" w:color="auto" w:fill="FFFFFF"/>
        </w:rPr>
        <w:t>如对本报告有疑问，请与吴川市大山江街道办事处党政办公室联系（地址：吴川市人民东路</w:t>
      </w:r>
      <w:r>
        <w:rPr>
          <w:rFonts w:ascii="Times New Roman" w:eastAsia="仿宋_GB2312" w:hAnsi="Times New Roman" w:hint="eastAsia"/>
          <w:color w:val="000000"/>
          <w:sz w:val="32"/>
          <w:szCs w:val="32"/>
          <w:shd w:val="clear" w:color="auto" w:fill="FFFFFF"/>
        </w:rPr>
        <w:t>23</w:t>
      </w:r>
      <w:r>
        <w:rPr>
          <w:rFonts w:ascii="Times New Roman" w:eastAsia="仿宋_GB2312" w:hAnsi="Times New Roman" w:hint="eastAsia"/>
          <w:color w:val="000000"/>
          <w:sz w:val="32"/>
          <w:szCs w:val="32"/>
          <w:shd w:val="clear" w:color="auto" w:fill="FFFFFF"/>
        </w:rPr>
        <w:t>号</w:t>
      </w:r>
      <w:r>
        <w:rPr>
          <w:rFonts w:ascii="Times New Roman" w:eastAsia="仿宋_GB2312" w:hAnsi="Times New Roman"/>
          <w:color w:val="000000"/>
          <w:sz w:val="32"/>
          <w:szCs w:val="32"/>
          <w:shd w:val="clear" w:color="auto" w:fill="FFFFFF"/>
        </w:rPr>
        <w:t>，邮编：</w:t>
      </w:r>
      <w:r>
        <w:rPr>
          <w:rFonts w:ascii="Times New Roman" w:eastAsia="仿宋_GB2312" w:hAnsi="Times New Roman"/>
          <w:color w:val="000000"/>
          <w:sz w:val="32"/>
          <w:szCs w:val="32"/>
          <w:shd w:val="clear" w:color="auto" w:fill="FFFFFF"/>
        </w:rPr>
        <w:t>524500</w:t>
      </w:r>
      <w:r>
        <w:rPr>
          <w:rFonts w:ascii="Times New Roman" w:eastAsia="仿宋_GB2312" w:hAnsi="Times New Roman"/>
          <w:color w:val="000000"/>
          <w:sz w:val="32"/>
          <w:szCs w:val="32"/>
          <w:shd w:val="clear" w:color="auto" w:fill="FFFFFF"/>
        </w:rPr>
        <w:t>，电话：</w:t>
      </w:r>
      <w:r>
        <w:rPr>
          <w:rFonts w:ascii="Times New Roman" w:eastAsia="仿宋_GB2312" w:hAnsi="Times New Roman"/>
          <w:color w:val="000000"/>
          <w:sz w:val="32"/>
          <w:szCs w:val="32"/>
          <w:shd w:val="clear" w:color="auto" w:fill="FFFFFF"/>
        </w:rPr>
        <w:t>0759-</w:t>
      </w:r>
      <w:r>
        <w:rPr>
          <w:rFonts w:ascii="Times New Roman" w:eastAsia="仿宋_GB2312" w:hAnsi="Times New Roman" w:hint="eastAsia"/>
          <w:color w:val="000000"/>
          <w:sz w:val="32"/>
          <w:szCs w:val="32"/>
          <w:shd w:val="clear" w:color="auto" w:fill="FFFFFF"/>
        </w:rPr>
        <w:t>5564852</w:t>
      </w:r>
      <w:r>
        <w:rPr>
          <w:rFonts w:ascii="Times New Roman" w:eastAsia="仿宋_GB2312" w:hAnsi="Times New Roman"/>
          <w:color w:val="000000"/>
          <w:sz w:val="32"/>
          <w:szCs w:val="32"/>
          <w:shd w:val="clear" w:color="auto" w:fill="FFFFFF"/>
        </w:rPr>
        <w:t>）。</w:t>
      </w:r>
    </w:p>
    <w:p w:rsidR="00DA2FFA" w:rsidRDefault="00DA2FFA" w:rsidP="00DA2FFA">
      <w:pPr>
        <w:pStyle w:val="a3"/>
        <w:widowControl/>
        <w:shd w:val="clear" w:color="auto" w:fill="FFFFFF"/>
        <w:spacing w:beforeAutospacing="0" w:afterAutospacing="0" w:line="600" w:lineRule="exact"/>
        <w:rPr>
          <w:rFonts w:ascii="Times New Roman" w:eastAsia="仿宋_GB2312" w:hAnsi="Times New Roman"/>
          <w:color w:val="000000"/>
          <w:sz w:val="32"/>
          <w:szCs w:val="32"/>
        </w:rPr>
      </w:pPr>
      <w:r>
        <w:rPr>
          <w:rFonts w:ascii="Times New Roman" w:eastAsia="仿宋_GB2312" w:hAnsi="Times New Roman"/>
          <w:color w:val="000000"/>
          <w:sz w:val="32"/>
          <w:szCs w:val="32"/>
          <w:shd w:val="clear" w:color="auto" w:fill="FFFFFF"/>
        </w:rPr>
        <w:t xml:space="preserve">　　</w:t>
      </w:r>
      <w:r>
        <w:rPr>
          <w:rFonts w:ascii="黑体" w:eastAsia="黑体" w:hAnsi="黑体" w:cs="黑体" w:hint="eastAsia"/>
          <w:color w:val="000000"/>
          <w:sz w:val="32"/>
          <w:szCs w:val="32"/>
          <w:shd w:val="clear" w:color="auto" w:fill="FFFFFF"/>
        </w:rPr>
        <w:t>一、总体情况</w:t>
      </w:r>
    </w:p>
    <w:p w:rsidR="00DA2FFA" w:rsidRPr="00E93CBA" w:rsidRDefault="00DA2FFA" w:rsidP="00DA2FFA">
      <w:pPr>
        <w:pStyle w:val="a3"/>
        <w:widowControl/>
        <w:shd w:val="clear" w:color="auto" w:fill="FFFFFF"/>
        <w:spacing w:beforeAutospacing="0" w:afterAutospacing="0" w:line="600" w:lineRule="exact"/>
        <w:rPr>
          <w:rFonts w:ascii="仿宋_GB2312" w:eastAsia="仿宋_GB2312" w:hAnsi="宋体" w:cs="宋体"/>
          <w:sz w:val="32"/>
          <w:szCs w:val="32"/>
        </w:rPr>
      </w:pPr>
      <w:r>
        <w:rPr>
          <w:rFonts w:ascii="Times New Roman" w:eastAsia="仿宋_GB2312" w:hAnsi="Times New Roman"/>
          <w:color w:val="000000"/>
          <w:sz w:val="32"/>
          <w:szCs w:val="32"/>
          <w:shd w:val="clear" w:color="auto" w:fill="FFFFFF"/>
        </w:rPr>
        <w:t xml:space="preserve">　　</w:t>
      </w:r>
      <w:r>
        <w:rPr>
          <w:rFonts w:ascii="Times New Roman" w:eastAsia="仿宋_GB2312" w:hAnsi="Times New Roman" w:hint="eastAsia"/>
          <w:color w:val="000000"/>
          <w:sz w:val="32"/>
          <w:szCs w:val="32"/>
          <w:shd w:val="clear" w:color="auto" w:fill="FFFFFF"/>
        </w:rPr>
        <w:t>2019</w:t>
      </w:r>
      <w:r>
        <w:rPr>
          <w:rFonts w:ascii="Times New Roman" w:eastAsia="仿宋_GB2312" w:hAnsi="Times New Roman"/>
          <w:color w:val="000000"/>
          <w:sz w:val="32"/>
          <w:szCs w:val="32"/>
          <w:shd w:val="clear" w:color="auto" w:fill="FFFFFF"/>
        </w:rPr>
        <w:t>年以来，我街道办事处按照《湛江市人民政府办公室关于印发湛江市</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年政务公开工作要点的通知》</w:t>
      </w:r>
      <w:r>
        <w:rPr>
          <w:rFonts w:ascii="Times New Roman" w:eastAsia="仿宋_GB2312" w:hAnsi="Times New Roman" w:hint="eastAsia"/>
          <w:color w:val="000000"/>
          <w:sz w:val="32"/>
          <w:szCs w:val="32"/>
          <w:shd w:val="clear" w:color="auto" w:fill="FFFFFF"/>
        </w:rPr>
        <w:t>（湛府办函</w:t>
      </w:r>
      <w:r>
        <w:rPr>
          <w:rFonts w:ascii="Times New Roman" w:eastAsia="仿宋_GB2312" w:hAnsi="Times New Roman"/>
          <w:color w:val="000000"/>
          <w:sz w:val="32"/>
          <w:szCs w:val="32"/>
          <w:shd w:val="clear" w:color="auto" w:fill="FFFFFF"/>
        </w:rPr>
        <w:t>〔</w:t>
      </w:r>
      <w:r>
        <w:rPr>
          <w:rFonts w:ascii="Times New Roman" w:eastAsia="仿宋_GB2312" w:hAnsi="Times New Roman"/>
          <w:color w:val="000000"/>
          <w:sz w:val="32"/>
          <w:szCs w:val="32"/>
          <w:shd w:val="clear" w:color="auto" w:fill="FFFFFF"/>
        </w:rPr>
        <w:t>2019</w:t>
      </w:r>
      <w:r>
        <w:rPr>
          <w:rFonts w:ascii="Times New Roman" w:eastAsia="仿宋_GB2312" w:hAnsi="Times New Roman"/>
          <w:color w:val="000000"/>
          <w:sz w:val="32"/>
          <w:szCs w:val="32"/>
          <w:shd w:val="clear" w:color="auto" w:fill="FFFFFF"/>
        </w:rPr>
        <w:t>〕</w:t>
      </w:r>
      <w:r>
        <w:rPr>
          <w:rFonts w:ascii="Times New Roman" w:eastAsia="仿宋_GB2312" w:hAnsi="Times New Roman" w:hint="eastAsia"/>
          <w:color w:val="000000"/>
          <w:sz w:val="32"/>
          <w:szCs w:val="32"/>
          <w:shd w:val="clear" w:color="auto" w:fill="FFFFFF"/>
        </w:rPr>
        <w:t>59</w:t>
      </w:r>
      <w:r>
        <w:rPr>
          <w:rFonts w:ascii="Times New Roman" w:eastAsia="仿宋_GB2312" w:hAnsi="Times New Roman" w:hint="eastAsia"/>
          <w:color w:val="000000"/>
          <w:sz w:val="32"/>
          <w:szCs w:val="32"/>
          <w:shd w:val="clear" w:color="auto" w:fill="FFFFFF"/>
        </w:rPr>
        <w:t>号）要求</w:t>
      </w:r>
      <w:r>
        <w:rPr>
          <w:rFonts w:ascii="Times New Roman" w:eastAsia="仿宋_GB2312" w:hAnsi="Times New Roman"/>
          <w:color w:val="000000"/>
          <w:sz w:val="32"/>
          <w:szCs w:val="32"/>
          <w:shd w:val="clear" w:color="auto" w:fill="FFFFFF"/>
        </w:rPr>
        <w:t>，</w:t>
      </w:r>
      <w:r>
        <w:rPr>
          <w:rFonts w:ascii="Times New Roman" w:eastAsia="仿宋_GB2312" w:hAnsi="Times New Roman" w:hint="eastAsia"/>
          <w:color w:val="000000"/>
          <w:sz w:val="32"/>
          <w:szCs w:val="32"/>
          <w:shd w:val="clear" w:color="auto" w:fill="FFFFFF"/>
        </w:rPr>
        <w:t>高效开展政府信息公开各项工作</w:t>
      </w:r>
      <w:r>
        <w:rPr>
          <w:rFonts w:ascii="Times New Roman" w:eastAsia="仿宋_GB2312" w:hAnsi="Times New Roman"/>
          <w:color w:val="000000"/>
          <w:sz w:val="32"/>
          <w:szCs w:val="32"/>
          <w:shd w:val="clear" w:color="auto" w:fill="FFFFFF"/>
        </w:rPr>
        <w:t>，</w:t>
      </w:r>
      <w:r>
        <w:rPr>
          <w:rFonts w:ascii="Times New Roman" w:eastAsia="仿宋_GB2312" w:hAnsi="Times New Roman" w:hint="eastAsia"/>
          <w:color w:val="000000"/>
          <w:sz w:val="32"/>
          <w:szCs w:val="32"/>
          <w:shd w:val="clear" w:color="auto" w:fill="FFFFFF"/>
        </w:rPr>
        <w:t>切实</w:t>
      </w:r>
      <w:r>
        <w:rPr>
          <w:rFonts w:ascii="Times New Roman" w:eastAsia="仿宋_GB2312" w:hAnsi="Times New Roman"/>
          <w:color w:val="000000"/>
          <w:sz w:val="32"/>
          <w:szCs w:val="32"/>
          <w:shd w:val="clear" w:color="auto" w:fill="FFFFFF"/>
        </w:rPr>
        <w:t>保障人民群众的知情权、参与权、表达权和监督权，为打造法治政府、创新政府</w:t>
      </w:r>
      <w:r w:rsidRPr="00E93CBA">
        <w:rPr>
          <w:rFonts w:ascii="仿宋_GB2312" w:eastAsia="仿宋_GB2312" w:hAnsi="宋体" w:cs="宋体"/>
          <w:sz w:val="32"/>
          <w:szCs w:val="32"/>
        </w:rPr>
        <w:t>、廉洁政府和服务型政府</w:t>
      </w:r>
      <w:r w:rsidRPr="00E93CBA">
        <w:rPr>
          <w:rFonts w:ascii="仿宋_GB2312" w:eastAsia="仿宋_GB2312" w:hAnsi="宋体" w:cs="宋体" w:hint="eastAsia"/>
          <w:sz w:val="32"/>
          <w:szCs w:val="32"/>
        </w:rPr>
        <w:t>贡献力量</w:t>
      </w:r>
      <w:r w:rsidRPr="00E93CBA">
        <w:rPr>
          <w:rFonts w:ascii="仿宋_GB2312" w:eastAsia="仿宋_GB2312" w:hAnsi="宋体" w:cs="宋体"/>
          <w:sz w:val="32"/>
          <w:szCs w:val="32"/>
        </w:rPr>
        <w:t>。</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t>（一）加强宣传培训。</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lastRenderedPageBreak/>
        <w:t>利用标语、专栏等多种形式宣传普及政府信息公开知识，并组织有关人员学习《条例》，政府信息公开目录和指南编制、政府信息公开系统内容录入等业务知识及</w:t>
      </w:r>
      <w:r w:rsidRPr="0046242F">
        <w:rPr>
          <w:rFonts w:ascii="仿宋_GB2312" w:eastAsia="仿宋_GB2312" w:hAnsi="宋体" w:cs="宋体" w:hint="eastAsia"/>
          <w:kern w:val="0"/>
          <w:sz w:val="32"/>
          <w:szCs w:val="32"/>
        </w:rPr>
        <w:t>农村</w:t>
      </w:r>
      <w:r w:rsidRPr="00E93CBA">
        <w:rPr>
          <w:rFonts w:ascii="仿宋_GB2312" w:eastAsia="仿宋_GB2312" w:hAnsi="宋体" w:cs="宋体" w:hint="eastAsia"/>
          <w:kern w:val="0"/>
          <w:sz w:val="32"/>
          <w:szCs w:val="32"/>
        </w:rPr>
        <w:t>“三资”管理</w:t>
      </w:r>
      <w:r w:rsidRPr="0046242F">
        <w:rPr>
          <w:rFonts w:ascii="仿宋_GB2312" w:eastAsia="仿宋_GB2312" w:hAnsi="宋体" w:cs="宋体" w:hint="eastAsia"/>
          <w:kern w:val="0"/>
          <w:sz w:val="32"/>
          <w:szCs w:val="32"/>
        </w:rPr>
        <w:t>等政务村务信息公开知识</w:t>
      </w:r>
      <w:r w:rsidRPr="00E93CBA">
        <w:rPr>
          <w:rFonts w:ascii="仿宋_GB2312" w:eastAsia="仿宋_GB2312" w:hAnsi="宋体" w:cs="宋体" w:hint="eastAsia"/>
          <w:kern w:val="0"/>
          <w:sz w:val="32"/>
          <w:szCs w:val="32"/>
        </w:rPr>
        <w:t>，不断提高工作水平。</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t>（二）健全组织机构</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t>为加强对我街道政府信息公开工作的组织领导，我街道根据班子领导工作的变动实际，进一步调整充实了政府信息公开工作领导小组，明确了工作职责，确定党政办是政府信息公开工作的主管部门，并负责推进政府信息公开工作，并指定了专职人员负责政府信息公开工作。</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t>（三）完善工作制度。</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46242F">
        <w:rPr>
          <w:rFonts w:ascii="仿宋_GB2312" w:eastAsia="仿宋_GB2312" w:hAnsi="宋体" w:cs="宋体" w:hint="eastAsia"/>
          <w:kern w:val="0"/>
          <w:sz w:val="32"/>
          <w:szCs w:val="32"/>
        </w:rPr>
        <w:t>根据政务公开工作《条例》和政府信息公开《条例》要求，我街道进一步完善了《大山江街道政府信息公开审批制度》、《大山江街</w:t>
      </w:r>
      <w:r w:rsidRPr="00E93CBA">
        <w:rPr>
          <w:rFonts w:ascii="仿宋_GB2312" w:eastAsia="仿宋_GB2312" w:hAnsi="宋体" w:cs="宋体" w:hint="eastAsia"/>
          <w:kern w:val="0"/>
          <w:sz w:val="32"/>
          <w:szCs w:val="32"/>
        </w:rPr>
        <w:t>道政府信息公开保密审查制度》等一系列制度。</w:t>
      </w:r>
    </w:p>
    <w:p w:rsidR="00E93CBA" w:rsidRPr="00E93CBA" w:rsidRDefault="00E93CBA" w:rsidP="00E93CBA">
      <w:pPr>
        <w:widowControl/>
        <w:spacing w:before="100" w:beforeAutospacing="1" w:after="100" w:afterAutospacing="1" w:line="460" w:lineRule="exact"/>
        <w:ind w:firstLineChars="200" w:firstLine="640"/>
        <w:jc w:val="left"/>
        <w:rPr>
          <w:rFonts w:ascii="仿宋_GB2312" w:eastAsia="仿宋_GB2312" w:hAnsi="宋体" w:cs="宋体" w:hint="eastAsia"/>
          <w:kern w:val="0"/>
          <w:sz w:val="32"/>
          <w:szCs w:val="32"/>
        </w:rPr>
      </w:pPr>
      <w:r w:rsidRPr="00E93CBA">
        <w:rPr>
          <w:rFonts w:ascii="仿宋_GB2312" w:eastAsia="仿宋_GB2312" w:hAnsi="宋体" w:cs="宋体" w:hint="eastAsia"/>
          <w:kern w:val="0"/>
          <w:sz w:val="32"/>
          <w:szCs w:val="32"/>
        </w:rPr>
        <w:t>（四）拓展公开渠道。</w:t>
      </w:r>
    </w:p>
    <w:p w:rsidR="00E93CBA" w:rsidRPr="0046242F" w:rsidRDefault="00E93CBA" w:rsidP="00E93CBA">
      <w:pPr>
        <w:widowControl/>
        <w:spacing w:before="100" w:beforeAutospacing="1" w:after="100" w:afterAutospacing="1" w:line="460" w:lineRule="exact"/>
        <w:ind w:firstLineChars="200" w:firstLine="640"/>
        <w:jc w:val="left"/>
        <w:rPr>
          <w:rFonts w:ascii="仿宋_GB2312" w:eastAsia="仿宋_GB2312" w:hAnsi="??" w:cs="宋体" w:hint="eastAsia"/>
          <w:kern w:val="0"/>
          <w:sz w:val="32"/>
          <w:szCs w:val="32"/>
        </w:rPr>
      </w:pPr>
      <w:r w:rsidRPr="00E93CBA">
        <w:rPr>
          <w:rFonts w:ascii="仿宋_GB2312" w:eastAsia="仿宋_GB2312" w:hAnsi="宋体" w:cs="宋体" w:hint="eastAsia"/>
          <w:kern w:val="0"/>
          <w:sz w:val="32"/>
          <w:szCs w:val="32"/>
        </w:rPr>
        <w:t>为确保政府信息公开工作取得实效，在严格保密审查的基础上，围绕便于群众知情、办事、监督以及与群众和企业切身利益密切相关的事项，根据上级的部署，我街道充分利用市政府网站信息公开平台和街道农村“三资”信息公开平台发布信息，提高了服务群众的效率和信息公开的透明度</w:t>
      </w:r>
      <w:r w:rsidRPr="0046242F">
        <w:rPr>
          <w:rFonts w:ascii="仿宋_GB2312" w:eastAsia="仿宋_GB2312" w:hAnsi="??" w:cs="宋体" w:hint="eastAsia"/>
          <w:kern w:val="0"/>
          <w:sz w:val="32"/>
          <w:szCs w:val="32"/>
        </w:rPr>
        <w:t>。</w:t>
      </w:r>
    </w:p>
    <w:p w:rsidR="00DA2FFA" w:rsidRDefault="00DA2FFA" w:rsidP="00DA2FFA">
      <w:pPr>
        <w:pStyle w:val="a3"/>
        <w:widowControl/>
        <w:shd w:val="clear" w:color="auto" w:fill="FFFFFF"/>
        <w:spacing w:beforeAutospacing="0" w:after="240" w:afterAutospacing="0" w:line="600" w:lineRule="exact"/>
        <w:ind w:firstLineChars="200" w:firstLine="643"/>
        <w:jc w:val="both"/>
        <w:rPr>
          <w:rFonts w:ascii="黑体" w:eastAsia="黑体" w:hAnsi="黑体" w:cs="黑体" w:hint="eastAsia"/>
          <w:color w:val="333333"/>
          <w:sz w:val="32"/>
          <w:szCs w:val="32"/>
        </w:rPr>
      </w:pPr>
      <w:r>
        <w:rPr>
          <w:rFonts w:ascii="黑体" w:eastAsia="黑体" w:hAnsi="黑体" w:cs="黑体" w:hint="eastAsia"/>
          <w:b/>
          <w:color w:val="333333"/>
          <w:sz w:val="32"/>
          <w:szCs w:val="32"/>
          <w:shd w:val="clear" w:color="auto" w:fill="FFFFFF"/>
        </w:rPr>
        <w:t>二、主动公开政府信息情况</w:t>
      </w:r>
    </w:p>
    <w:tbl>
      <w:tblPr>
        <w:tblW w:w="8140" w:type="dxa"/>
        <w:jc w:val="center"/>
        <w:tblLayout w:type="fixed"/>
        <w:tblCellMar>
          <w:left w:w="0" w:type="dxa"/>
          <w:right w:w="0" w:type="dxa"/>
        </w:tblCellMar>
        <w:tblLook w:val="0000"/>
      </w:tblPr>
      <w:tblGrid>
        <w:gridCol w:w="3113"/>
        <w:gridCol w:w="1869"/>
        <w:gridCol w:w="1277"/>
        <w:gridCol w:w="1881"/>
      </w:tblGrid>
      <w:tr w:rsidR="00DA2FFA" w:rsidTr="007F2F65">
        <w:trPr>
          <w:trHeight w:val="495"/>
          <w:jc w:val="center"/>
        </w:trPr>
        <w:tc>
          <w:tcPr>
            <w:tcW w:w="8140" w:type="dxa"/>
            <w:gridSpan w:val="4"/>
            <w:tcBorders>
              <w:top w:val="single" w:sz="8" w:space="0" w:color="auto"/>
              <w:left w:val="single" w:sz="8" w:space="0" w:color="auto"/>
              <w:bottom w:val="single" w:sz="8" w:space="0" w:color="auto"/>
              <w:right w:val="single" w:sz="8" w:space="0" w:color="auto"/>
            </w:tcBorders>
            <w:shd w:val="clear" w:color="auto" w:fill="C6D9F1"/>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第二十条第（一）项</w:t>
            </w:r>
          </w:p>
        </w:tc>
      </w:tr>
      <w:tr w:rsidR="00DA2FFA" w:rsidTr="007F2F65">
        <w:trPr>
          <w:trHeight w:val="882"/>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信息内容</w:t>
            </w:r>
          </w:p>
        </w:tc>
        <w:tc>
          <w:tcPr>
            <w:tcW w:w="1869"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本年新</w:t>
            </w:r>
            <w:r>
              <w:rPr>
                <w:rFonts w:ascii="Times New Roman" w:eastAsia="仿宋_GB2312" w:hAnsi="Times New Roman"/>
                <w:color w:val="000000"/>
                <w:kern w:val="0"/>
                <w:sz w:val="32"/>
                <w:szCs w:val="32"/>
              </w:rPr>
              <w:br/>
            </w:r>
            <w:r>
              <w:rPr>
                <w:rFonts w:ascii="Times New Roman" w:eastAsia="仿宋_GB2312" w:hAnsi="Times New Roman"/>
                <w:kern w:val="0"/>
                <w:sz w:val="32"/>
                <w:szCs w:val="32"/>
              </w:rPr>
              <w:lastRenderedPageBreak/>
              <w:t>制作数量</w:t>
            </w:r>
          </w:p>
        </w:tc>
        <w:tc>
          <w:tcPr>
            <w:tcW w:w="1277"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lastRenderedPageBreak/>
              <w:t>本年新</w:t>
            </w:r>
            <w:r>
              <w:rPr>
                <w:rFonts w:ascii="Times New Roman" w:eastAsia="仿宋_GB2312" w:hAnsi="Times New Roman"/>
                <w:color w:val="000000"/>
                <w:kern w:val="0"/>
                <w:sz w:val="32"/>
                <w:szCs w:val="32"/>
              </w:rPr>
              <w:br/>
            </w:r>
            <w:r>
              <w:rPr>
                <w:rFonts w:ascii="Times New Roman" w:eastAsia="仿宋_GB2312" w:hAnsi="Times New Roman"/>
                <w:kern w:val="0"/>
                <w:sz w:val="32"/>
                <w:szCs w:val="32"/>
              </w:rPr>
              <w:lastRenderedPageBreak/>
              <w:t>公开数量</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lastRenderedPageBreak/>
              <w:t>对外公开总</w:t>
            </w:r>
            <w:r>
              <w:rPr>
                <w:rFonts w:ascii="Times New Roman" w:eastAsia="仿宋_GB2312" w:hAnsi="Times New Roman"/>
                <w:color w:val="000000"/>
                <w:kern w:val="0"/>
                <w:sz w:val="32"/>
                <w:szCs w:val="32"/>
              </w:rPr>
              <w:lastRenderedPageBreak/>
              <w:t>数量</w:t>
            </w:r>
          </w:p>
        </w:tc>
      </w:tr>
      <w:tr w:rsidR="00DA2FFA" w:rsidTr="007F2F65">
        <w:trPr>
          <w:trHeight w:val="523"/>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lastRenderedPageBreak/>
              <w:t>规章</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r>
      <w:tr w:rsidR="00DA2FFA" w:rsidTr="007F2F65">
        <w:trPr>
          <w:trHeight w:val="471"/>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规范性文件</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1</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1</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1</w:t>
            </w:r>
          </w:p>
        </w:tc>
      </w:tr>
      <w:tr w:rsidR="00DA2FFA" w:rsidTr="007F2F65">
        <w:trPr>
          <w:trHeight w:val="480"/>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第二十条第（五）项</w:t>
            </w:r>
          </w:p>
        </w:tc>
      </w:tr>
      <w:tr w:rsidR="00DA2FFA" w:rsidTr="007F2F65">
        <w:trPr>
          <w:trHeight w:val="634"/>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信息内容</w:t>
            </w:r>
          </w:p>
        </w:tc>
        <w:tc>
          <w:tcPr>
            <w:tcW w:w="1869"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上一年项目数量</w:t>
            </w:r>
          </w:p>
        </w:tc>
        <w:tc>
          <w:tcPr>
            <w:tcW w:w="1277"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本年增</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减</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处理决定数量</w:t>
            </w:r>
          </w:p>
        </w:tc>
      </w:tr>
      <w:tr w:rsidR="00DA2FFA" w:rsidTr="007F2F65">
        <w:trPr>
          <w:trHeight w:val="528"/>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行政许可</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0</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r>
      <w:tr w:rsidR="00DA2FFA" w:rsidTr="007F2F65">
        <w:trPr>
          <w:trHeight w:val="550"/>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其他对外管理服务事项</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0</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color w:val="000000"/>
                <w:kern w:val="0"/>
                <w:sz w:val="32"/>
                <w:szCs w:val="32"/>
              </w:rPr>
              <w:t>0</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B5484B"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r>
      <w:tr w:rsidR="00DA2FFA" w:rsidTr="007F2F65">
        <w:trPr>
          <w:trHeight w:val="406"/>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第二十条第（六）项</w:t>
            </w:r>
          </w:p>
        </w:tc>
      </w:tr>
      <w:tr w:rsidR="00DA2FFA" w:rsidTr="007F2F65">
        <w:trPr>
          <w:trHeight w:val="634"/>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信息内容</w:t>
            </w:r>
          </w:p>
        </w:tc>
        <w:tc>
          <w:tcPr>
            <w:tcW w:w="1869"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上一年项目数量</w:t>
            </w:r>
          </w:p>
        </w:tc>
        <w:tc>
          <w:tcPr>
            <w:tcW w:w="1277"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本年增</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减</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处理决定数量</w:t>
            </w:r>
          </w:p>
        </w:tc>
      </w:tr>
      <w:tr w:rsidR="00DA2FFA" w:rsidTr="007F2F65">
        <w:trPr>
          <w:trHeight w:val="430"/>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行政处罚</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14</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color w:val="000000"/>
                <w:kern w:val="0"/>
                <w:sz w:val="32"/>
                <w:szCs w:val="32"/>
              </w:rPr>
              <w:t>减</w:t>
            </w:r>
            <w:r>
              <w:rPr>
                <w:rFonts w:ascii="Times New Roman" w:eastAsia="仿宋_GB2312" w:hAnsi="Times New Roman" w:hint="eastAsia"/>
                <w:color w:val="000000"/>
                <w:kern w:val="0"/>
                <w:sz w:val="32"/>
                <w:szCs w:val="32"/>
              </w:rPr>
              <w:t>10</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sz w:val="32"/>
                <w:szCs w:val="32"/>
              </w:rPr>
              <w:t>14</w:t>
            </w:r>
          </w:p>
        </w:tc>
      </w:tr>
      <w:tr w:rsidR="00DA2FFA" w:rsidTr="007F2F65">
        <w:trPr>
          <w:trHeight w:val="409"/>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行政强制</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1277"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1881"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r>
      <w:tr w:rsidR="00DA2FFA" w:rsidTr="007F2F65">
        <w:trPr>
          <w:trHeight w:val="474"/>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第二十条第（八）项</w:t>
            </w:r>
          </w:p>
        </w:tc>
      </w:tr>
      <w:tr w:rsidR="00DA2FFA" w:rsidTr="007F2F65">
        <w:trPr>
          <w:trHeight w:val="270"/>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信息内容</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上一年项目数量</w:t>
            </w:r>
          </w:p>
        </w:tc>
        <w:tc>
          <w:tcPr>
            <w:tcW w:w="3158" w:type="dxa"/>
            <w:gridSpan w:val="2"/>
            <w:tcBorders>
              <w:top w:val="single" w:sz="8" w:space="0" w:color="auto"/>
              <w:left w:val="nil"/>
              <w:bottom w:val="single" w:sz="8" w:space="0" w:color="auto"/>
              <w:right w:val="single" w:sz="8" w:space="0" w:color="000000"/>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本年增</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减</w:t>
            </w:r>
          </w:p>
        </w:tc>
      </w:tr>
      <w:tr w:rsidR="00DA2FFA" w:rsidTr="007F2F65">
        <w:trPr>
          <w:trHeight w:val="551"/>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lastRenderedPageBreak/>
              <w:t>行政事业性收费</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3158" w:type="dxa"/>
            <w:gridSpan w:val="2"/>
            <w:tcBorders>
              <w:top w:val="nil"/>
              <w:left w:val="nil"/>
              <w:bottom w:val="single" w:sz="8" w:space="0" w:color="auto"/>
              <w:right w:val="single" w:sz="8" w:space="0" w:color="000000"/>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r>
      <w:tr w:rsidR="00DA2FFA" w:rsidTr="007F2F65">
        <w:trPr>
          <w:trHeight w:val="476"/>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第二十条第（九）项</w:t>
            </w:r>
          </w:p>
        </w:tc>
      </w:tr>
      <w:tr w:rsidR="00DA2FFA" w:rsidTr="007F2F65">
        <w:trPr>
          <w:trHeight w:val="585"/>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信息内容</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采购项目数量</w:t>
            </w:r>
          </w:p>
        </w:tc>
        <w:tc>
          <w:tcPr>
            <w:tcW w:w="3158" w:type="dxa"/>
            <w:gridSpan w:val="2"/>
            <w:tcBorders>
              <w:top w:val="single" w:sz="8" w:space="0" w:color="auto"/>
              <w:left w:val="nil"/>
              <w:bottom w:val="single" w:sz="8" w:space="0" w:color="auto"/>
              <w:right w:val="single" w:sz="8" w:space="0" w:color="000000"/>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采购总金额</w:t>
            </w:r>
          </w:p>
        </w:tc>
      </w:tr>
      <w:tr w:rsidR="00DA2FFA" w:rsidTr="007F2F65">
        <w:trPr>
          <w:trHeight w:val="539"/>
          <w:jc w:val="center"/>
        </w:trPr>
        <w:tc>
          <w:tcPr>
            <w:tcW w:w="3113"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color w:val="000000"/>
                <w:kern w:val="0"/>
                <w:sz w:val="32"/>
                <w:szCs w:val="32"/>
              </w:rPr>
              <w:t>政府集中采购</w:t>
            </w:r>
          </w:p>
        </w:tc>
        <w:tc>
          <w:tcPr>
            <w:tcW w:w="1869" w:type="dxa"/>
            <w:tcBorders>
              <w:top w:val="nil"/>
              <w:left w:val="nil"/>
              <w:bottom w:val="single" w:sz="8" w:space="0" w:color="auto"/>
              <w:right w:val="single" w:sz="8" w:space="0" w:color="auto"/>
            </w:tcBorders>
            <w:tcMar>
              <w:left w:w="108" w:type="dxa"/>
              <w:right w:w="108" w:type="dxa"/>
            </w:tcMar>
            <w:vAlign w:val="center"/>
          </w:tcPr>
          <w:p w:rsidR="00DA2FFA" w:rsidRDefault="00E93CB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5</w:t>
            </w:r>
          </w:p>
        </w:tc>
        <w:tc>
          <w:tcPr>
            <w:tcW w:w="3158" w:type="dxa"/>
            <w:gridSpan w:val="2"/>
            <w:tcBorders>
              <w:top w:val="nil"/>
              <w:left w:val="nil"/>
              <w:bottom w:val="single" w:sz="8" w:space="0" w:color="auto"/>
              <w:right w:val="single" w:sz="8" w:space="0" w:color="000000"/>
            </w:tcBorders>
            <w:tcMar>
              <w:left w:w="108" w:type="dxa"/>
              <w:right w:w="108" w:type="dxa"/>
            </w:tcMar>
            <w:vAlign w:val="center"/>
          </w:tcPr>
          <w:p w:rsidR="00DA2FFA" w:rsidRDefault="00E93CBA" w:rsidP="00B5484B">
            <w:pPr>
              <w:spacing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80365</w:t>
            </w:r>
            <w:r>
              <w:rPr>
                <w:rFonts w:ascii="Times New Roman" w:eastAsia="仿宋_GB2312" w:hAnsi="Times New Roman" w:hint="eastAsia"/>
                <w:sz w:val="32"/>
                <w:szCs w:val="32"/>
              </w:rPr>
              <w:t>元</w:t>
            </w:r>
          </w:p>
        </w:tc>
      </w:tr>
    </w:tbl>
    <w:p w:rsidR="00DA2FFA" w:rsidRDefault="00DA2FFA" w:rsidP="00DA2FFA">
      <w:pPr>
        <w:pStyle w:val="a3"/>
        <w:widowControl/>
        <w:shd w:val="clear" w:color="auto" w:fill="FFFFFF"/>
        <w:spacing w:beforeAutospacing="0" w:afterAutospacing="0" w:line="600" w:lineRule="exact"/>
        <w:ind w:firstLine="420"/>
        <w:jc w:val="both"/>
        <w:rPr>
          <w:rFonts w:ascii="Times New Roman" w:eastAsia="仿宋_GB2312" w:hAnsi="Times New Roman"/>
          <w:color w:val="333333"/>
          <w:sz w:val="32"/>
          <w:szCs w:val="32"/>
        </w:rPr>
      </w:pPr>
    </w:p>
    <w:p w:rsidR="00DA2FFA" w:rsidRDefault="00DA2FFA" w:rsidP="00DA2FFA">
      <w:pPr>
        <w:pStyle w:val="a3"/>
        <w:widowControl/>
        <w:shd w:val="clear" w:color="auto" w:fill="FFFFFF"/>
        <w:spacing w:beforeAutospacing="0" w:after="240" w:afterAutospacing="0" w:line="600" w:lineRule="exact"/>
        <w:ind w:firstLine="420"/>
        <w:jc w:val="both"/>
        <w:rPr>
          <w:rFonts w:ascii="Times New Roman" w:eastAsia="仿宋_GB2312" w:hAnsi="Times New Roman"/>
          <w:b/>
          <w:color w:val="333333"/>
          <w:sz w:val="32"/>
          <w:szCs w:val="32"/>
          <w:shd w:val="clear" w:color="auto" w:fill="FFFFFF"/>
        </w:rPr>
      </w:pPr>
    </w:p>
    <w:p w:rsidR="00DA2FFA" w:rsidRDefault="00DA2FFA" w:rsidP="00DA2FFA">
      <w:pPr>
        <w:pStyle w:val="a3"/>
        <w:widowControl/>
        <w:shd w:val="clear" w:color="auto" w:fill="FFFFFF"/>
        <w:spacing w:beforeAutospacing="0" w:after="240" w:afterAutospacing="0" w:line="600" w:lineRule="exact"/>
        <w:ind w:firstLine="420"/>
        <w:jc w:val="both"/>
        <w:rPr>
          <w:rFonts w:ascii="Times New Roman" w:eastAsia="仿宋_GB2312" w:hAnsi="Times New Roman"/>
          <w:b/>
          <w:color w:val="333333"/>
          <w:sz w:val="32"/>
          <w:szCs w:val="32"/>
          <w:shd w:val="clear" w:color="auto" w:fill="FFFFFF"/>
        </w:rPr>
      </w:pPr>
    </w:p>
    <w:p w:rsidR="00DA2FFA" w:rsidRDefault="00DA2FFA" w:rsidP="00DA2FFA">
      <w:pPr>
        <w:pStyle w:val="a3"/>
        <w:widowControl/>
        <w:shd w:val="clear" w:color="auto" w:fill="FFFFFF"/>
        <w:spacing w:beforeAutospacing="0" w:after="240" w:afterAutospacing="0" w:line="600" w:lineRule="exact"/>
        <w:ind w:firstLineChars="200" w:firstLine="643"/>
        <w:jc w:val="both"/>
        <w:rPr>
          <w:rFonts w:ascii="黑体" w:eastAsia="黑体" w:hAnsi="黑体" w:cs="黑体" w:hint="eastAsia"/>
          <w:color w:val="333333"/>
          <w:sz w:val="32"/>
          <w:szCs w:val="32"/>
        </w:rPr>
      </w:pPr>
      <w:r>
        <w:rPr>
          <w:rFonts w:ascii="黑体" w:eastAsia="黑体" w:hAnsi="黑体" w:cs="黑体" w:hint="eastAsia"/>
          <w:b/>
          <w:color w:val="333333"/>
          <w:sz w:val="32"/>
          <w:szCs w:val="32"/>
          <w:shd w:val="clear" w:color="auto" w:fill="FFFFFF"/>
        </w:rPr>
        <w:t>三、收到和处理政府信息公开申请情况</w:t>
      </w:r>
    </w:p>
    <w:tbl>
      <w:tblPr>
        <w:tblW w:w="9071"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000"/>
      </w:tblPr>
      <w:tblGrid>
        <w:gridCol w:w="618"/>
        <w:gridCol w:w="854"/>
        <w:gridCol w:w="2086"/>
        <w:gridCol w:w="814"/>
        <w:gridCol w:w="755"/>
        <w:gridCol w:w="755"/>
        <w:gridCol w:w="814"/>
        <w:gridCol w:w="974"/>
        <w:gridCol w:w="712"/>
        <w:gridCol w:w="689"/>
      </w:tblGrid>
      <w:tr w:rsidR="00DA2FFA" w:rsidTr="007F2F65">
        <w:trPr>
          <w:jc w:val="center"/>
        </w:trPr>
        <w:tc>
          <w:tcPr>
            <w:tcW w:w="3558" w:type="dxa"/>
            <w:gridSpan w:val="3"/>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（本列数据的勾稽关系为：第一项加第二项之和，等于第三项加第四项之和）</w:t>
            </w:r>
          </w:p>
        </w:tc>
        <w:tc>
          <w:tcPr>
            <w:tcW w:w="5513" w:type="dxa"/>
            <w:gridSpan w:val="7"/>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申请人情况</w:t>
            </w:r>
          </w:p>
        </w:tc>
      </w:tr>
      <w:tr w:rsidR="00DA2FFA" w:rsidTr="007F2F65">
        <w:trPr>
          <w:jc w:val="center"/>
        </w:trPr>
        <w:tc>
          <w:tcPr>
            <w:tcW w:w="3558" w:type="dxa"/>
            <w:gridSpan w:val="3"/>
            <w:vMerge/>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14" w:type="dxa"/>
            <w:vMerge w:val="restart"/>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自然人</w:t>
            </w:r>
          </w:p>
        </w:tc>
        <w:tc>
          <w:tcPr>
            <w:tcW w:w="4010" w:type="dxa"/>
            <w:gridSpan w:val="5"/>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法人或其他组织</w:t>
            </w:r>
          </w:p>
        </w:tc>
        <w:tc>
          <w:tcPr>
            <w:tcW w:w="689" w:type="dxa"/>
            <w:vMerge w:val="restart"/>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总计</w:t>
            </w:r>
          </w:p>
        </w:tc>
      </w:tr>
      <w:tr w:rsidR="00DA2FFA" w:rsidTr="007F2F65">
        <w:trPr>
          <w:jc w:val="center"/>
        </w:trPr>
        <w:tc>
          <w:tcPr>
            <w:tcW w:w="3558" w:type="dxa"/>
            <w:gridSpan w:val="3"/>
            <w:vMerge/>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1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商业企业</w:t>
            </w: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科研机构</w:t>
            </w:r>
          </w:p>
        </w:tc>
        <w:tc>
          <w:tcPr>
            <w:tcW w:w="814"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社会公益组织</w:t>
            </w:r>
          </w:p>
        </w:tc>
        <w:tc>
          <w:tcPr>
            <w:tcW w:w="974"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法律服务机构</w:t>
            </w:r>
          </w:p>
        </w:tc>
        <w:tc>
          <w:tcPr>
            <w:tcW w:w="712"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其他</w:t>
            </w:r>
          </w:p>
        </w:tc>
        <w:tc>
          <w:tcPr>
            <w:tcW w:w="689" w:type="dxa"/>
            <w:vMerge/>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r>
      <w:tr w:rsidR="00DA2FFA" w:rsidTr="007F2F65">
        <w:trPr>
          <w:jc w:val="center"/>
        </w:trPr>
        <w:tc>
          <w:tcPr>
            <w:tcW w:w="3558" w:type="dxa"/>
            <w:gridSpan w:val="3"/>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一、本年新收政府信息公开申请数量</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3558" w:type="dxa"/>
            <w:gridSpan w:val="3"/>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lastRenderedPageBreak/>
              <w:t>二、上年结转政府信息公开申请数量</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r>
      <w:tr w:rsidR="00DA2FFA" w:rsidTr="007F2F65">
        <w:trPr>
          <w:jc w:val="center"/>
        </w:trPr>
        <w:tc>
          <w:tcPr>
            <w:tcW w:w="618" w:type="dxa"/>
            <w:vMerge w:val="restart"/>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三、本年度办理结果</w:t>
            </w:r>
          </w:p>
        </w:tc>
        <w:tc>
          <w:tcPr>
            <w:tcW w:w="2940" w:type="dxa"/>
            <w:gridSpan w:val="2"/>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（一）予以公开</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940" w:type="dxa"/>
            <w:gridSpan w:val="2"/>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（二）部分公开（区分处理的，只计这一情形，不计其他情形）</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val="restart"/>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（三）不予公开</w:t>
            </w: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属于国家秘密</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其他法律行政法规禁止公开</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危及</w:t>
            </w:r>
            <w:r>
              <w:rPr>
                <w:rFonts w:ascii="Times New Roman" w:eastAsia="仿宋_GB2312" w:hAnsi="Times New Roman"/>
                <w:kern w:val="0"/>
                <w:sz w:val="32"/>
                <w:szCs w:val="32"/>
              </w:rPr>
              <w:t>“</w:t>
            </w:r>
            <w:r>
              <w:rPr>
                <w:rFonts w:ascii="Times New Roman" w:eastAsia="仿宋_GB2312" w:hAnsi="Times New Roman"/>
                <w:kern w:val="0"/>
                <w:sz w:val="32"/>
                <w:szCs w:val="32"/>
              </w:rPr>
              <w:t>三安全一稳定</w:t>
            </w:r>
            <w:r>
              <w:rPr>
                <w:rFonts w:ascii="Times New Roman" w:eastAsia="仿宋_GB2312" w:hAnsi="Times New Roman"/>
                <w:kern w:val="0"/>
                <w:sz w:val="32"/>
                <w:szCs w:val="32"/>
              </w:rPr>
              <w:t>”</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保护第三方合法权益</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5.</w:t>
            </w:r>
            <w:r>
              <w:rPr>
                <w:rFonts w:ascii="Times New Roman" w:eastAsia="仿宋_GB2312" w:hAnsi="Times New Roman"/>
                <w:kern w:val="0"/>
                <w:sz w:val="32"/>
                <w:szCs w:val="32"/>
              </w:rPr>
              <w:t>属于三类内部事务信息</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6.</w:t>
            </w:r>
            <w:r>
              <w:rPr>
                <w:rFonts w:ascii="Times New Roman" w:eastAsia="仿宋_GB2312" w:hAnsi="Times New Roman"/>
                <w:kern w:val="0"/>
                <w:sz w:val="32"/>
                <w:szCs w:val="32"/>
              </w:rPr>
              <w:t>属于四类过程性信息</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7.</w:t>
            </w:r>
            <w:r>
              <w:rPr>
                <w:rFonts w:ascii="Times New Roman" w:eastAsia="仿宋_GB2312" w:hAnsi="Times New Roman"/>
                <w:kern w:val="0"/>
                <w:sz w:val="32"/>
                <w:szCs w:val="32"/>
              </w:rPr>
              <w:t>属于行政执法案卷</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4</w:t>
            </w: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4</w:t>
            </w: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8.</w:t>
            </w:r>
            <w:r>
              <w:rPr>
                <w:rFonts w:ascii="Times New Roman" w:eastAsia="仿宋_GB2312" w:hAnsi="Times New Roman"/>
                <w:kern w:val="0"/>
                <w:sz w:val="32"/>
                <w:szCs w:val="32"/>
              </w:rPr>
              <w:t>属于行政查询事项</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val="restart"/>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（四）无法提供</w:t>
            </w: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本机关不掌握相关政府信息</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没有现成信息需要另行制作</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补正后申请内容仍不明确</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val="restart"/>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（五）不予处理</w:t>
            </w: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信访举报投诉类申请</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重复申请</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要求提供公开出版物</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无正当理由大量反复申</w:t>
            </w:r>
            <w:r>
              <w:rPr>
                <w:rFonts w:ascii="Times New Roman" w:eastAsia="仿宋_GB2312" w:hAnsi="Times New Roman"/>
                <w:kern w:val="0"/>
                <w:sz w:val="32"/>
                <w:szCs w:val="32"/>
              </w:rPr>
              <w:lastRenderedPageBreak/>
              <w:t>请</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85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08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5.</w:t>
            </w:r>
            <w:r>
              <w:rPr>
                <w:rFonts w:ascii="Times New Roman" w:eastAsia="仿宋_GB2312" w:hAnsi="Times New Roman"/>
                <w:kern w:val="0"/>
                <w:sz w:val="32"/>
                <w:szCs w:val="32"/>
              </w:rPr>
              <w:t>要求行政机关确认或重新出具已获取信息</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940" w:type="dxa"/>
            <w:gridSpan w:val="2"/>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（六）其他处理</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r>
      <w:tr w:rsidR="00DA2FFA" w:rsidTr="007F2F65">
        <w:trPr>
          <w:jc w:val="center"/>
        </w:trPr>
        <w:tc>
          <w:tcPr>
            <w:tcW w:w="618"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2940" w:type="dxa"/>
            <w:gridSpan w:val="2"/>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（七）总计</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4</w:t>
            </w: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07295F"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4</w:t>
            </w:r>
          </w:p>
        </w:tc>
      </w:tr>
      <w:tr w:rsidR="00DA2FFA" w:rsidTr="007F2F65">
        <w:trPr>
          <w:jc w:val="center"/>
        </w:trPr>
        <w:tc>
          <w:tcPr>
            <w:tcW w:w="3558" w:type="dxa"/>
            <w:gridSpan w:val="3"/>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left"/>
              <w:rPr>
                <w:rFonts w:ascii="Times New Roman" w:eastAsia="仿宋_GB2312" w:hAnsi="Times New Roman"/>
                <w:sz w:val="32"/>
                <w:szCs w:val="32"/>
              </w:rPr>
            </w:pPr>
            <w:r>
              <w:rPr>
                <w:rFonts w:ascii="Times New Roman" w:eastAsia="仿宋_GB2312" w:hAnsi="Times New Roman"/>
                <w:kern w:val="0"/>
                <w:sz w:val="32"/>
                <w:szCs w:val="32"/>
              </w:rPr>
              <w:t>四、结转下年度继续办理</w:t>
            </w: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5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81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97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712"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p>
        </w:tc>
        <w:tc>
          <w:tcPr>
            <w:tcW w:w="689"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jc w:val="center"/>
              <w:rPr>
                <w:rFonts w:ascii="Times New Roman" w:eastAsia="仿宋_GB2312" w:hAnsi="Times New Roman" w:hint="eastAsia"/>
                <w:sz w:val="32"/>
                <w:szCs w:val="32"/>
              </w:rPr>
            </w:pPr>
          </w:p>
        </w:tc>
      </w:tr>
    </w:tbl>
    <w:p w:rsidR="00DA2FFA" w:rsidRDefault="00DA2FFA" w:rsidP="00DA2FFA">
      <w:pPr>
        <w:pStyle w:val="a3"/>
        <w:widowControl/>
        <w:shd w:val="clear" w:color="auto" w:fill="FFFFFF"/>
        <w:spacing w:beforeAutospacing="0" w:afterAutospacing="0" w:line="600" w:lineRule="exact"/>
        <w:jc w:val="both"/>
        <w:rPr>
          <w:rFonts w:ascii="Times New Roman" w:eastAsia="仿宋_GB2312" w:hAnsi="Times New Roman"/>
          <w:color w:val="333333"/>
          <w:sz w:val="32"/>
          <w:szCs w:val="32"/>
        </w:rPr>
      </w:pPr>
    </w:p>
    <w:p w:rsidR="00DA2FFA" w:rsidRDefault="00DA2FFA" w:rsidP="00DA2FFA">
      <w:pPr>
        <w:pStyle w:val="a3"/>
        <w:widowControl/>
        <w:shd w:val="clear" w:color="auto" w:fill="FFFFFF"/>
        <w:spacing w:beforeAutospacing="0" w:afterAutospacing="0" w:line="600" w:lineRule="exact"/>
        <w:ind w:firstLineChars="200" w:firstLine="643"/>
        <w:jc w:val="both"/>
        <w:rPr>
          <w:rFonts w:ascii="黑体" w:eastAsia="黑体" w:hAnsi="黑体" w:cs="黑体" w:hint="eastAsia"/>
          <w:color w:val="333333"/>
          <w:sz w:val="32"/>
          <w:szCs w:val="32"/>
        </w:rPr>
      </w:pPr>
      <w:r>
        <w:rPr>
          <w:rFonts w:ascii="黑体" w:eastAsia="黑体" w:hAnsi="黑体" w:cs="黑体" w:hint="eastAsia"/>
          <w:b/>
          <w:color w:val="333333"/>
          <w:sz w:val="32"/>
          <w:szCs w:val="32"/>
          <w:shd w:val="clear" w:color="auto" w:fill="FFFFFF"/>
        </w:rPr>
        <w:t>四、政府信息公开行政复议、行政诉讼情况</w:t>
      </w:r>
    </w:p>
    <w:tbl>
      <w:tblPr>
        <w:tblW w:w="9071"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000"/>
      </w:tblPr>
      <w:tblGrid>
        <w:gridCol w:w="604"/>
        <w:gridCol w:w="604"/>
        <w:gridCol w:w="604"/>
        <w:gridCol w:w="604"/>
        <w:gridCol w:w="658"/>
        <w:gridCol w:w="550"/>
        <w:gridCol w:w="605"/>
        <w:gridCol w:w="605"/>
        <w:gridCol w:w="605"/>
        <w:gridCol w:w="605"/>
        <w:gridCol w:w="605"/>
        <w:gridCol w:w="605"/>
        <w:gridCol w:w="605"/>
        <w:gridCol w:w="606"/>
        <w:gridCol w:w="606"/>
      </w:tblGrid>
      <w:tr w:rsidR="00DA2FFA" w:rsidTr="007F2F65">
        <w:trPr>
          <w:jc w:val="center"/>
        </w:trPr>
        <w:tc>
          <w:tcPr>
            <w:tcW w:w="3074" w:type="dxa"/>
            <w:gridSpan w:val="5"/>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行政复议</w:t>
            </w:r>
          </w:p>
        </w:tc>
        <w:tc>
          <w:tcPr>
            <w:tcW w:w="5997" w:type="dxa"/>
            <w:gridSpan w:val="10"/>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行政诉讼</w:t>
            </w:r>
          </w:p>
        </w:tc>
      </w:tr>
      <w:tr w:rsidR="00DA2FFA" w:rsidTr="007F2F65">
        <w:trPr>
          <w:jc w:val="center"/>
        </w:trPr>
        <w:tc>
          <w:tcPr>
            <w:tcW w:w="604" w:type="dxa"/>
            <w:vMerge w:val="restart"/>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结果维持</w:t>
            </w:r>
          </w:p>
        </w:tc>
        <w:tc>
          <w:tcPr>
            <w:tcW w:w="604" w:type="dxa"/>
            <w:vMerge w:val="restart"/>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结果纠正</w:t>
            </w:r>
          </w:p>
        </w:tc>
        <w:tc>
          <w:tcPr>
            <w:tcW w:w="604" w:type="dxa"/>
            <w:vMerge w:val="restart"/>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其他结果</w:t>
            </w:r>
          </w:p>
        </w:tc>
        <w:tc>
          <w:tcPr>
            <w:tcW w:w="604" w:type="dxa"/>
            <w:vMerge w:val="restart"/>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尚未审结</w:t>
            </w:r>
          </w:p>
        </w:tc>
        <w:tc>
          <w:tcPr>
            <w:tcW w:w="658" w:type="dxa"/>
            <w:vMerge w:val="restart"/>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总计</w:t>
            </w:r>
          </w:p>
        </w:tc>
        <w:tc>
          <w:tcPr>
            <w:tcW w:w="2970" w:type="dxa"/>
            <w:gridSpan w:val="5"/>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未经复议直接起诉</w:t>
            </w:r>
          </w:p>
        </w:tc>
        <w:tc>
          <w:tcPr>
            <w:tcW w:w="3027" w:type="dxa"/>
            <w:gridSpan w:val="5"/>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复议后起诉</w:t>
            </w:r>
          </w:p>
        </w:tc>
      </w:tr>
      <w:tr w:rsidR="00DA2FFA" w:rsidTr="007F2F65">
        <w:trPr>
          <w:jc w:val="center"/>
        </w:trPr>
        <w:tc>
          <w:tcPr>
            <w:tcW w:w="604" w:type="dxa"/>
            <w:vMerge/>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604" w:type="dxa"/>
            <w:vMerge/>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604" w:type="dxa"/>
            <w:vMerge/>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604" w:type="dxa"/>
            <w:vMerge/>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658" w:type="dxa"/>
            <w:vMerge/>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rPr>
                <w:rFonts w:ascii="Times New Roman" w:eastAsia="仿宋_GB2312" w:hAnsi="Times New Roman"/>
                <w:sz w:val="32"/>
                <w:szCs w:val="32"/>
              </w:rPr>
            </w:pPr>
          </w:p>
        </w:tc>
        <w:tc>
          <w:tcPr>
            <w:tcW w:w="550"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结果维持</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结果纠正</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其他结果</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尚未审结</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总计</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结果维持</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结果纠正</w:t>
            </w:r>
          </w:p>
        </w:tc>
        <w:tc>
          <w:tcPr>
            <w:tcW w:w="605"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其他结果</w:t>
            </w:r>
          </w:p>
        </w:tc>
        <w:tc>
          <w:tcPr>
            <w:tcW w:w="606"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kern w:val="0"/>
                <w:sz w:val="32"/>
                <w:szCs w:val="32"/>
              </w:rPr>
              <w:t>尚未审结</w:t>
            </w:r>
          </w:p>
        </w:tc>
        <w:tc>
          <w:tcPr>
            <w:tcW w:w="606" w:type="dxa"/>
            <w:tcBorders>
              <w:top w:val="single" w:sz="8" w:space="0" w:color="auto"/>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color w:val="000000"/>
                <w:kern w:val="0"/>
                <w:sz w:val="32"/>
                <w:szCs w:val="32"/>
              </w:rPr>
              <w:t>总计</w:t>
            </w:r>
          </w:p>
        </w:tc>
      </w:tr>
      <w:tr w:rsidR="00DA2FFA" w:rsidTr="007F2F65">
        <w:trPr>
          <w:jc w:val="center"/>
        </w:trPr>
        <w:tc>
          <w:tcPr>
            <w:tcW w:w="604" w:type="dxa"/>
            <w:tcBorders>
              <w:top w:val="nil"/>
              <w:left w:val="single" w:sz="8" w:space="0" w:color="auto"/>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4"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58"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kern w:val="0"/>
                <w:sz w:val="32"/>
                <w:szCs w:val="32"/>
              </w:rPr>
              <w:t>0</w:t>
            </w:r>
          </w:p>
        </w:tc>
        <w:tc>
          <w:tcPr>
            <w:tcW w:w="550"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color w:val="000000"/>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5"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color w:val="000000"/>
                <w:kern w:val="0"/>
                <w:sz w:val="32"/>
                <w:szCs w:val="32"/>
              </w:rPr>
              <w:t>0</w:t>
            </w:r>
          </w:p>
        </w:tc>
        <w:tc>
          <w:tcPr>
            <w:tcW w:w="60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widowControl/>
              <w:spacing w:after="180" w:line="600" w:lineRule="exact"/>
              <w:jc w:val="center"/>
              <w:rPr>
                <w:rFonts w:ascii="Times New Roman" w:eastAsia="仿宋_GB2312" w:hAnsi="Times New Roman" w:hint="eastAsia"/>
                <w:sz w:val="32"/>
                <w:szCs w:val="32"/>
              </w:rPr>
            </w:pPr>
            <w:r>
              <w:rPr>
                <w:rFonts w:ascii="Times New Roman" w:eastAsia="仿宋_GB2312" w:hAnsi="Times New Roman" w:hint="eastAsia"/>
                <w:kern w:val="0"/>
                <w:sz w:val="32"/>
                <w:szCs w:val="32"/>
              </w:rPr>
              <w:t>0</w:t>
            </w:r>
          </w:p>
        </w:tc>
        <w:tc>
          <w:tcPr>
            <w:tcW w:w="606" w:type="dxa"/>
            <w:tcBorders>
              <w:top w:val="nil"/>
              <w:left w:val="nil"/>
              <w:bottom w:val="single" w:sz="8" w:space="0" w:color="auto"/>
              <w:right w:val="single" w:sz="8" w:space="0" w:color="auto"/>
            </w:tcBorders>
            <w:tcMar>
              <w:left w:w="108" w:type="dxa"/>
              <w:right w:w="108" w:type="dxa"/>
            </w:tcMar>
            <w:vAlign w:val="center"/>
          </w:tcPr>
          <w:p w:rsidR="00DA2FFA" w:rsidRDefault="00DA2FFA" w:rsidP="007F2F65">
            <w:pPr>
              <w:spacing w:line="600" w:lineRule="exact"/>
              <w:jc w:val="center"/>
              <w:rPr>
                <w:rFonts w:ascii="Times New Roman" w:eastAsia="仿宋_GB2312" w:hAnsi="Times New Roman" w:hint="eastAsia"/>
                <w:sz w:val="32"/>
                <w:szCs w:val="32"/>
              </w:rPr>
            </w:pPr>
            <w:r>
              <w:rPr>
                <w:rFonts w:ascii="Times New Roman" w:eastAsia="仿宋_GB2312" w:hAnsi="Times New Roman" w:hint="eastAsia"/>
                <w:sz w:val="32"/>
                <w:szCs w:val="32"/>
              </w:rPr>
              <w:t>0</w:t>
            </w:r>
          </w:p>
        </w:tc>
      </w:tr>
    </w:tbl>
    <w:p w:rsidR="00DA2FFA" w:rsidRDefault="00DA2FFA" w:rsidP="00DA2FFA">
      <w:pPr>
        <w:widowControl/>
        <w:shd w:val="clear" w:color="auto" w:fill="FFFFFF"/>
        <w:spacing w:line="600" w:lineRule="exact"/>
        <w:rPr>
          <w:rFonts w:ascii="Times New Roman" w:eastAsia="仿宋_GB2312" w:hAnsi="Times New Roman"/>
          <w:color w:val="333333"/>
          <w:sz w:val="32"/>
          <w:szCs w:val="32"/>
        </w:rPr>
      </w:pPr>
    </w:p>
    <w:p w:rsidR="00DA2FFA" w:rsidRDefault="00DA2FFA" w:rsidP="00DA2FFA">
      <w:pPr>
        <w:pStyle w:val="a3"/>
        <w:widowControl/>
        <w:shd w:val="clear" w:color="auto" w:fill="FFFFFF"/>
        <w:spacing w:beforeAutospacing="0" w:afterAutospacing="0" w:line="600" w:lineRule="exact"/>
        <w:ind w:firstLineChars="200" w:firstLine="643"/>
        <w:jc w:val="both"/>
        <w:rPr>
          <w:rFonts w:ascii="黑体" w:eastAsia="黑体" w:hAnsi="黑体" w:cs="黑体" w:hint="eastAsia"/>
          <w:color w:val="333333"/>
          <w:sz w:val="32"/>
          <w:szCs w:val="32"/>
        </w:rPr>
      </w:pPr>
      <w:r>
        <w:rPr>
          <w:rFonts w:ascii="黑体" w:eastAsia="黑体" w:hAnsi="黑体" w:cs="黑体" w:hint="eastAsia"/>
          <w:b/>
          <w:color w:val="333333"/>
          <w:sz w:val="32"/>
          <w:szCs w:val="32"/>
          <w:shd w:val="clear" w:color="auto" w:fill="FFFFFF"/>
        </w:rPr>
        <w:t>五、存在的主要问题及改进情况</w:t>
      </w:r>
    </w:p>
    <w:p w:rsidR="00E93CBA" w:rsidRDefault="00DA2FFA" w:rsidP="00E93CBA">
      <w:pPr>
        <w:widowControl/>
        <w:spacing w:before="100" w:beforeAutospacing="1" w:after="100" w:afterAutospacing="1" w:line="460" w:lineRule="exact"/>
        <w:ind w:firstLineChars="150" w:firstLine="480"/>
        <w:jc w:val="left"/>
        <w:rPr>
          <w:rFonts w:ascii="仿宋_GB2312" w:eastAsia="仿宋_GB2312" w:hAnsi="宋体" w:cs="宋体" w:hint="eastAsia"/>
          <w:kern w:val="0"/>
          <w:sz w:val="32"/>
          <w:szCs w:val="32"/>
        </w:rPr>
      </w:pPr>
      <w:r>
        <w:rPr>
          <w:rFonts w:ascii="Times New Roman" w:eastAsia="仿宋_GB2312" w:hAnsi="Times New Roman" w:hint="eastAsia"/>
          <w:kern w:val="0"/>
          <w:sz w:val="32"/>
          <w:szCs w:val="32"/>
          <w:shd w:val="clear" w:color="auto" w:fill="FFFFFF"/>
          <w:lang/>
        </w:rPr>
        <w:lastRenderedPageBreak/>
        <w:t>2019</w:t>
      </w:r>
      <w:r>
        <w:rPr>
          <w:rFonts w:ascii="Times New Roman" w:eastAsia="仿宋_GB2312" w:hAnsi="Times New Roman" w:hint="eastAsia"/>
          <w:kern w:val="0"/>
          <w:sz w:val="32"/>
          <w:szCs w:val="32"/>
          <w:shd w:val="clear" w:color="auto" w:fill="FFFFFF"/>
          <w:lang/>
        </w:rPr>
        <w:t>年，</w:t>
      </w:r>
      <w:r w:rsidR="00E93CBA" w:rsidRPr="0046242F">
        <w:rPr>
          <w:rFonts w:ascii="仿宋_GB2312" w:eastAsia="仿宋_GB2312" w:hAnsi="宋体" w:cs="宋体" w:hint="eastAsia"/>
          <w:kern w:val="0"/>
          <w:sz w:val="32"/>
          <w:szCs w:val="32"/>
        </w:rPr>
        <w:t>我街道政府信息公开虽然做了大量的工作，取得了较好的成绩，但也存在不少的问题</w:t>
      </w:r>
      <w:r w:rsidR="00E93CBA">
        <w:rPr>
          <w:rFonts w:ascii="仿宋_GB2312" w:eastAsia="仿宋_GB2312" w:hAnsi="宋体" w:cs="宋体" w:hint="eastAsia"/>
          <w:kern w:val="0"/>
          <w:sz w:val="32"/>
          <w:szCs w:val="32"/>
        </w:rPr>
        <w:t>：</w:t>
      </w:r>
      <w:r w:rsidR="00E93CBA" w:rsidRPr="0046242F">
        <w:rPr>
          <w:rFonts w:ascii="仿宋_GB2312" w:eastAsia="仿宋_GB2312" w:hAnsi="宋体" w:cs="宋体" w:hint="eastAsia"/>
          <w:kern w:val="0"/>
          <w:sz w:val="32"/>
          <w:szCs w:val="32"/>
        </w:rPr>
        <w:t>1、从事政府信息公开工作队伍建设不够，专业人员不稳定，业务水平有限。2、公开工作制度欠完善，一些部门对政府信息公开不够重视，未能及时提供信息。</w:t>
      </w:r>
      <w:r w:rsidR="00E93CBA">
        <w:rPr>
          <w:rFonts w:ascii="仿宋_GB2312" w:eastAsia="仿宋_GB2312" w:hAnsi="宋体" w:cs="宋体" w:hint="eastAsia"/>
          <w:kern w:val="0"/>
          <w:sz w:val="32"/>
          <w:szCs w:val="32"/>
        </w:rPr>
        <w:t xml:space="preserve">     </w:t>
      </w:r>
    </w:p>
    <w:p w:rsidR="00DA2FFA" w:rsidRPr="00E93CBA" w:rsidRDefault="00E93CBA" w:rsidP="00E93CBA">
      <w:pPr>
        <w:widowControl/>
        <w:spacing w:before="100" w:beforeAutospacing="1" w:after="100" w:afterAutospacing="1" w:line="460" w:lineRule="exact"/>
        <w:ind w:firstLineChars="150" w:firstLine="480"/>
        <w:jc w:val="left"/>
        <w:rPr>
          <w:rFonts w:ascii="仿宋_GB2312" w:eastAsia="仿宋_GB2312" w:hAnsi="宋体" w:cs="宋体" w:hint="eastAsia"/>
          <w:kern w:val="0"/>
          <w:sz w:val="32"/>
          <w:szCs w:val="32"/>
        </w:rPr>
      </w:pPr>
      <w:r w:rsidRPr="0046242F">
        <w:rPr>
          <w:rFonts w:ascii="仿宋_GB2312" w:eastAsia="仿宋_GB2312" w:hAnsi="宋体" w:cs="宋体" w:hint="eastAsia"/>
          <w:kern w:val="0"/>
          <w:sz w:val="32"/>
          <w:szCs w:val="32"/>
        </w:rPr>
        <w:t>针对上述存在的问题，为把我街道政府信息公开工作推上一个新的台阶，今后主要抓好如下几个方面的工作：1、进一步健全政府信息公开工作机构。要切实落实分管领导，健全办公室，配备专（兼）职人员和联络人员，加强业务培训，确保我街道政府信息公开工作正常开展。</w:t>
      </w:r>
      <w:r w:rsidRPr="0046242F">
        <w:rPr>
          <w:rFonts w:ascii="仿宋_GB2312" w:eastAsia="仿宋_GB2312" w:hAnsi="Verdana" w:cs="宋体" w:hint="eastAsia"/>
          <w:color w:val="333333"/>
          <w:kern w:val="0"/>
          <w:sz w:val="32"/>
          <w:szCs w:val="32"/>
        </w:rPr>
        <w:t>2、加强政府信息公开队伍建设。要配足信息公开人员，稳定队伍，加强业务培训。</w:t>
      </w:r>
      <w:r w:rsidRPr="0046242F">
        <w:rPr>
          <w:rFonts w:ascii="仿宋_GB2312" w:eastAsia="仿宋_GB2312" w:hAnsi="宋体" w:cs="宋体" w:hint="eastAsia"/>
          <w:kern w:val="0"/>
          <w:sz w:val="32"/>
          <w:szCs w:val="32"/>
        </w:rPr>
        <w:t>3、及时公开政府信息。</w:t>
      </w:r>
      <w:r w:rsidRPr="0046242F">
        <w:rPr>
          <w:rFonts w:ascii="仿宋_GB2312" w:eastAsia="仿宋_GB2312" w:hAnsi="Verdana" w:cs="宋体" w:hint="eastAsia"/>
          <w:color w:val="333333"/>
          <w:kern w:val="0"/>
          <w:sz w:val="32"/>
          <w:szCs w:val="32"/>
        </w:rPr>
        <w:t>按照“以公开为原则，不公开为例外”的总体要求，进一步做好公开和免予公开两类政府信息的界定。</w:t>
      </w:r>
      <w:r w:rsidRPr="0046242F">
        <w:rPr>
          <w:rFonts w:ascii="仿宋_GB2312" w:eastAsia="仿宋_GB2312" w:hAnsi="宋体" w:cs="宋体" w:hint="eastAsia"/>
          <w:kern w:val="0"/>
          <w:sz w:val="32"/>
          <w:szCs w:val="32"/>
        </w:rPr>
        <w:t>凡是需要群众知道的，涉及群众切实利益的，真正做到应公开的政府信息全部及时公开，对于涉密的不能公开的信息绝不公开。</w:t>
      </w:r>
    </w:p>
    <w:p w:rsidR="00DA2FFA" w:rsidRDefault="00DA2FFA" w:rsidP="00DA2FFA">
      <w:pPr>
        <w:pStyle w:val="a3"/>
        <w:widowControl/>
        <w:shd w:val="clear" w:color="auto" w:fill="FFFFFF"/>
        <w:spacing w:beforeAutospacing="0" w:afterAutospacing="0" w:line="600" w:lineRule="exact"/>
        <w:ind w:firstLineChars="200" w:firstLine="643"/>
        <w:jc w:val="both"/>
        <w:rPr>
          <w:rFonts w:ascii="黑体" w:eastAsia="黑体" w:hAnsi="黑体" w:cs="黑体" w:hint="eastAsia"/>
          <w:b/>
          <w:color w:val="333333"/>
          <w:sz w:val="32"/>
          <w:szCs w:val="32"/>
        </w:rPr>
      </w:pPr>
      <w:r>
        <w:rPr>
          <w:rFonts w:ascii="黑体" w:eastAsia="黑体" w:hAnsi="黑体" w:cs="黑体" w:hint="eastAsia"/>
          <w:b/>
          <w:color w:val="333333"/>
          <w:sz w:val="32"/>
          <w:szCs w:val="32"/>
          <w:shd w:val="clear" w:color="auto" w:fill="FFFFFF"/>
        </w:rPr>
        <w:t>六、其他需要报告的事项</w:t>
      </w:r>
    </w:p>
    <w:p w:rsidR="00DA2FFA" w:rsidRDefault="00DA2FFA" w:rsidP="00DA2FFA">
      <w:pPr>
        <w:spacing w:line="60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color w:val="333333"/>
          <w:sz w:val="32"/>
          <w:szCs w:val="32"/>
          <w:shd w:val="clear" w:color="auto" w:fill="FFFFFF"/>
        </w:rPr>
        <w:t>无。</w:t>
      </w:r>
    </w:p>
    <w:p w:rsidR="00DA2FFA" w:rsidRDefault="00DA2FFA" w:rsidP="00DA2FFA">
      <w:pPr>
        <w:spacing w:line="600" w:lineRule="exact"/>
        <w:rPr>
          <w:rFonts w:ascii="Times New Roman" w:eastAsia="仿宋_GB2312" w:hAnsi="Times New Roman"/>
          <w:sz w:val="32"/>
          <w:szCs w:val="32"/>
        </w:rPr>
      </w:pPr>
    </w:p>
    <w:p w:rsidR="00DA2FFA" w:rsidRDefault="00DA2FFA" w:rsidP="00DA2FFA"/>
    <w:p w:rsidR="00480C6D" w:rsidRPr="00DA2FFA" w:rsidRDefault="00480C6D" w:rsidP="00DA2FFA"/>
    <w:sectPr w:rsidR="00480C6D" w:rsidRPr="00DA2FFA">
      <w:footerReference w:type="default" r:id="rId4"/>
      <w:pgSz w:w="11906" w:h="16838"/>
      <w:pgMar w:top="1587" w:right="1417" w:bottom="1417" w:left="1417"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4169A">
    <w:pPr>
      <w:pStyle w:val="a5"/>
    </w:pPr>
    <w: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fill o:detectmouseclick="t"/>
          <v:textbox style="mso-fit-shape-to-text:t" inset="0,0,0,0">
            <w:txbxContent>
              <w:p w:rsidR="00000000" w:rsidRDefault="00C4169A">
                <w:pPr>
                  <w:pStyle w:val="a5"/>
                  <w:rPr>
                    <w:rFonts w:hint="eastAsia"/>
                  </w:rPr>
                </w:pPr>
                <w:r>
                  <w:rPr>
                    <w:rFonts w:hint="eastAsia"/>
                  </w:rPr>
                  <w:fldChar w:fldCharType="begin"/>
                </w:r>
                <w:r>
                  <w:rPr>
                    <w:rFonts w:hint="eastAsia"/>
                  </w:rPr>
                  <w:instrText xml:space="preserve"> PAGE  \* MERGEFORMAT </w:instrText>
                </w:r>
                <w:r>
                  <w:rPr>
                    <w:rFonts w:hint="eastAsia"/>
                  </w:rPr>
                  <w:fldChar w:fldCharType="separate"/>
                </w:r>
                <w:r w:rsidR="0007295F">
                  <w:rPr>
                    <w:noProof/>
                  </w:rPr>
                  <w:t>1</w:t>
                </w:r>
                <w:r>
                  <w:rPr>
                    <w:rFonts w:hint="eastAsia"/>
                  </w:rP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DA2FFA"/>
    <w:rsid w:val="0007295F"/>
    <w:rsid w:val="00480C6D"/>
    <w:rsid w:val="00B5484B"/>
    <w:rsid w:val="00C4169A"/>
    <w:rsid w:val="00DA2FFA"/>
    <w:rsid w:val="00E93C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FF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DA2FFA"/>
    <w:pPr>
      <w:spacing w:beforeAutospacing="1" w:afterAutospacing="1"/>
      <w:jc w:val="left"/>
    </w:pPr>
    <w:rPr>
      <w:kern w:val="0"/>
      <w:sz w:val="24"/>
    </w:rPr>
  </w:style>
  <w:style w:type="character" w:styleId="a4">
    <w:name w:val="Strong"/>
    <w:basedOn w:val="a0"/>
    <w:qFormat/>
    <w:rsid w:val="00DA2FFA"/>
    <w:rPr>
      <w:b/>
    </w:rPr>
  </w:style>
  <w:style w:type="paragraph" w:styleId="a5">
    <w:name w:val="footer"/>
    <w:basedOn w:val="a"/>
    <w:link w:val="Char"/>
    <w:qFormat/>
    <w:rsid w:val="00DA2FFA"/>
    <w:pPr>
      <w:tabs>
        <w:tab w:val="center" w:pos="4153"/>
        <w:tab w:val="right" w:pos="8306"/>
      </w:tabs>
      <w:snapToGrid w:val="0"/>
      <w:jc w:val="left"/>
    </w:pPr>
    <w:rPr>
      <w:sz w:val="18"/>
    </w:rPr>
  </w:style>
  <w:style w:type="character" w:customStyle="1" w:styleId="Char">
    <w:name w:val="页脚 Char"/>
    <w:basedOn w:val="a0"/>
    <w:link w:val="a5"/>
    <w:rsid w:val="00DA2FFA"/>
    <w:rPr>
      <w:rFonts w:ascii="Calibri" w:eastAsia="宋体" w:hAnsi="Calibri" w:cs="Times New Roman"/>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2020-02-05T02:49:00Z</dcterms:created>
  <dcterms:modified xsi:type="dcterms:W3CDTF">2020-02-05T03:21:00Z</dcterms:modified>
</cp:coreProperties>
</file>