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81C64">
      <w:pPr>
        <w:ind w:right="420"/>
        <w:jc w:val="center"/>
        <w:rPr>
          <w:rFonts w:hint="eastAsia" w:ascii="宋体" w:hAnsi="宋体" w:eastAsia="宋体" w:cs="宋体"/>
          <w:b/>
          <w:bCs/>
          <w:sz w:val="24"/>
          <w:szCs w:val="24"/>
        </w:rPr>
      </w:pPr>
    </w:p>
    <w:p w14:paraId="0D01EAFC">
      <w:pPr>
        <w:ind w:right="420"/>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rPr>
        <w:t>关于</w:t>
      </w:r>
      <w:r>
        <w:rPr>
          <w:rFonts w:hint="eastAsia" w:ascii="黑体" w:hAnsi="黑体" w:eastAsia="黑体" w:cs="黑体"/>
          <w:b w:val="0"/>
          <w:bCs w:val="0"/>
          <w:sz w:val="44"/>
          <w:szCs w:val="44"/>
          <w:lang w:val="en-US" w:eastAsia="zh-CN"/>
        </w:rPr>
        <w:t>报名</w:t>
      </w:r>
      <w:r>
        <w:rPr>
          <w:rFonts w:hint="eastAsia" w:ascii="黑体" w:hAnsi="黑体" w:eastAsia="黑体" w:cs="黑体"/>
          <w:b w:val="0"/>
          <w:bCs w:val="0"/>
          <w:sz w:val="44"/>
          <w:szCs w:val="44"/>
        </w:rPr>
        <w:t>参与</w:t>
      </w:r>
      <w:r>
        <w:rPr>
          <w:rFonts w:hint="eastAsia" w:ascii="黑体" w:hAnsi="黑体" w:eastAsia="黑体" w:cs="黑体"/>
          <w:b w:val="0"/>
          <w:bCs w:val="0"/>
          <w:sz w:val="44"/>
          <w:szCs w:val="44"/>
          <w:lang w:val="en-US" w:eastAsia="zh-CN"/>
        </w:rPr>
        <w:t>振文镇2026年轮作休耕</w:t>
      </w:r>
    </w:p>
    <w:p w14:paraId="0DC256DE">
      <w:pPr>
        <w:ind w:right="420"/>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rPr>
        <w:t>项目的</w:t>
      </w:r>
      <w:r>
        <w:rPr>
          <w:rFonts w:hint="eastAsia" w:ascii="黑体" w:hAnsi="黑体" w:eastAsia="黑体" w:cs="黑体"/>
          <w:b w:val="0"/>
          <w:bCs w:val="0"/>
          <w:sz w:val="44"/>
          <w:szCs w:val="44"/>
          <w:lang w:val="en-US" w:eastAsia="zh-CN"/>
        </w:rPr>
        <w:t>通知</w:t>
      </w:r>
    </w:p>
    <w:p w14:paraId="18D6A67E">
      <w:pPr>
        <w:keepNext w:val="0"/>
        <w:keepLines w:val="0"/>
        <w:pageBreakBefore w:val="0"/>
        <w:widowControl w:val="0"/>
        <w:kinsoku/>
        <w:wordWrap/>
        <w:overflowPunct/>
        <w:topLinePunct w:val="0"/>
        <w:autoSpaceDE/>
        <w:autoSpaceDN/>
        <w:bidi w:val="0"/>
        <w:adjustRightInd/>
        <w:snapToGrid/>
        <w:spacing w:line="560" w:lineRule="exact"/>
        <w:ind w:right="42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吴</w:t>
      </w:r>
      <w:r>
        <w:rPr>
          <w:rFonts w:hint="eastAsia" w:ascii="仿宋_GB2312" w:hAnsi="仿宋_GB2312" w:eastAsia="仿宋_GB2312" w:cs="仿宋_GB2312"/>
          <w:sz w:val="32"/>
          <w:szCs w:val="32"/>
          <w:lang w:eastAsia="zh-CN"/>
        </w:rPr>
        <w:t>川市2026年轮作休耕项目实施方案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文件精神，我镇</w:t>
      </w:r>
      <w:r>
        <w:rPr>
          <w:rFonts w:hint="eastAsia" w:ascii="仿宋_GB2312" w:hAnsi="仿宋_GB2312" w:eastAsia="仿宋_GB2312" w:cs="仿宋_GB2312"/>
          <w:sz w:val="32"/>
          <w:szCs w:val="32"/>
          <w:lang w:val="en-US" w:eastAsia="zh-CN"/>
        </w:rPr>
        <w:t>制定实施方案</w:t>
      </w:r>
      <w:r>
        <w:rPr>
          <w:rFonts w:hint="eastAsia" w:ascii="仿宋_GB2312" w:hAnsi="仿宋_GB2312" w:eastAsia="仿宋_GB2312" w:cs="仿宋_GB2312"/>
          <w:sz w:val="32"/>
          <w:szCs w:val="32"/>
        </w:rPr>
        <w:t>开展轮作休耕(稻</w:t>
      </w:r>
      <w:r>
        <w:rPr>
          <w:rFonts w:hint="eastAsia" w:ascii="仿宋_GB2312" w:hAnsi="仿宋_GB2312" w:eastAsia="仿宋_GB2312" w:cs="仿宋_GB2312"/>
          <w:sz w:val="32"/>
          <w:szCs w:val="32"/>
          <w:lang w:val="en-US" w:eastAsia="zh-CN"/>
        </w:rPr>
        <w:t>稻</w:t>
      </w:r>
      <w:r>
        <w:rPr>
          <w:rFonts w:hint="eastAsia" w:ascii="仿宋_GB2312" w:hAnsi="仿宋_GB2312" w:eastAsia="仿宋_GB2312" w:cs="仿宋_GB2312"/>
          <w:sz w:val="32"/>
          <w:szCs w:val="32"/>
        </w:rPr>
        <w:t>油、稻稻</w:t>
      </w:r>
      <w:r>
        <w:rPr>
          <w:rFonts w:hint="eastAsia" w:ascii="仿宋_GB2312" w:hAnsi="仿宋_GB2312" w:eastAsia="仿宋_GB2312" w:cs="仿宋_GB2312"/>
          <w:sz w:val="32"/>
          <w:szCs w:val="32"/>
          <w:lang w:val="en-US" w:eastAsia="zh-CN"/>
        </w:rPr>
        <w:t>肥</w:t>
      </w:r>
      <w:r>
        <w:rPr>
          <w:rFonts w:hint="eastAsia" w:ascii="仿宋_GB2312" w:hAnsi="仿宋_GB2312" w:eastAsia="仿宋_GB2312" w:cs="仿宋_GB2312"/>
          <w:sz w:val="32"/>
          <w:szCs w:val="32"/>
        </w:rPr>
        <w:t>等粮油轮作模式)项目，</w:t>
      </w:r>
      <w:r>
        <w:rPr>
          <w:rFonts w:hint="eastAsia" w:ascii="仿宋_GB2312" w:hAnsi="仿宋_GB2312" w:eastAsia="仿宋_GB2312" w:cs="仿宋_GB2312"/>
          <w:sz w:val="32"/>
          <w:szCs w:val="32"/>
          <w:lang w:val="en-US" w:eastAsia="zh-CN"/>
        </w:rPr>
        <w:t>实施对象</w:t>
      </w:r>
      <w:r>
        <w:rPr>
          <w:rFonts w:hint="eastAsia" w:ascii="仿宋_GB2312" w:hAnsi="仿宋_GB2312" w:eastAsia="仿宋_GB2312" w:cs="仿宋_GB2312"/>
          <w:sz w:val="32"/>
          <w:szCs w:val="32"/>
        </w:rPr>
        <w:t>包括种植大户、家庭农场、农民合作社、农业企业、村集体经济组织等，优先选择家庭农场、农民专业合作社、农业企业等新型农业经营主体承担任务。任务实施期限为202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早</w:t>
      </w:r>
      <w:r>
        <w:rPr>
          <w:rFonts w:hint="eastAsia" w:ascii="仿宋_GB2312" w:hAnsi="仿宋_GB2312" w:eastAsia="仿宋_GB2312" w:cs="仿宋_GB2312"/>
          <w:sz w:val="32"/>
          <w:szCs w:val="32"/>
        </w:rPr>
        <w:t>稻开始，至</w:t>
      </w:r>
      <w:r>
        <w:rPr>
          <w:rFonts w:hint="eastAsia" w:ascii="仿宋_GB2312" w:hAnsi="仿宋_GB2312" w:eastAsia="仿宋_GB2312" w:cs="仿宋_GB2312"/>
          <w:sz w:val="32"/>
          <w:szCs w:val="32"/>
          <w:lang w:val="en-US" w:eastAsia="zh-CN"/>
        </w:rPr>
        <w:t>2027</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4月份前</w:t>
      </w:r>
      <w:r>
        <w:rPr>
          <w:rFonts w:hint="eastAsia" w:ascii="仿宋_GB2312" w:hAnsi="仿宋_GB2312" w:eastAsia="仿宋_GB2312" w:cs="仿宋_GB2312"/>
          <w:sz w:val="32"/>
          <w:szCs w:val="32"/>
        </w:rPr>
        <w:t>结束。请有条件参与轮作</w:t>
      </w:r>
      <w:r>
        <w:rPr>
          <w:rFonts w:hint="eastAsia" w:ascii="仿宋_GB2312" w:hAnsi="仿宋_GB2312" w:eastAsia="仿宋_GB2312" w:cs="仿宋_GB2312"/>
          <w:sz w:val="32"/>
          <w:szCs w:val="32"/>
          <w:lang w:val="en-US" w:eastAsia="zh-CN"/>
        </w:rPr>
        <w:t>休耕</w:t>
      </w:r>
      <w:r>
        <w:rPr>
          <w:rFonts w:hint="eastAsia" w:ascii="仿宋_GB2312" w:hAnsi="仿宋_GB2312" w:eastAsia="仿宋_GB2312" w:cs="仿宋_GB2312"/>
          <w:sz w:val="32"/>
          <w:szCs w:val="32"/>
        </w:rPr>
        <w:t>项目的农户或新型农业经营主体携带佐证材料(身份证或营业执照复印件、土地承包合同或证明等)到</w:t>
      </w:r>
      <w:r>
        <w:rPr>
          <w:rFonts w:hint="eastAsia" w:ascii="仿宋_GB2312" w:hAnsi="仿宋_GB2312" w:eastAsia="仿宋_GB2312" w:cs="仿宋_GB2312"/>
          <w:sz w:val="32"/>
          <w:szCs w:val="32"/>
          <w:lang w:val="en-US" w:eastAsia="zh-CN"/>
        </w:rPr>
        <w:t>振文镇农业技术服务中心</w:t>
      </w:r>
      <w:r>
        <w:rPr>
          <w:rFonts w:hint="eastAsia" w:ascii="仿宋_GB2312" w:hAnsi="仿宋_GB2312" w:eastAsia="仿宋_GB2312" w:cs="仿宋_GB2312"/>
          <w:sz w:val="32"/>
          <w:szCs w:val="32"/>
        </w:rPr>
        <w:t>报名。农户或新型农业经营主体经确定，要与我镇签订轮作试点协议。</w:t>
      </w:r>
    </w:p>
    <w:p w14:paraId="5443C33F">
      <w:pPr>
        <w:keepNext w:val="0"/>
        <w:keepLines w:val="0"/>
        <w:pageBreakBefore w:val="0"/>
        <w:widowControl w:val="0"/>
        <w:kinsoku/>
        <w:wordWrap/>
        <w:overflowPunct/>
        <w:topLinePunct w:val="0"/>
        <w:autoSpaceDE/>
        <w:autoSpaceDN/>
        <w:bidi w:val="0"/>
        <w:adjustRightInd/>
        <w:snapToGrid/>
        <w:spacing w:line="560" w:lineRule="exact"/>
        <w:ind w:right="42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报名地址:</w:t>
      </w:r>
      <w:r>
        <w:rPr>
          <w:rFonts w:hint="eastAsia" w:ascii="仿宋_GB2312" w:hAnsi="仿宋_GB2312" w:eastAsia="仿宋_GB2312" w:cs="仿宋_GB2312"/>
          <w:sz w:val="32"/>
          <w:szCs w:val="32"/>
          <w:lang w:val="en-US" w:eastAsia="zh-CN"/>
        </w:rPr>
        <w:t>吴川市振文镇农业技术服务中心，</w:t>
      </w:r>
      <w:r>
        <w:rPr>
          <w:rFonts w:hint="eastAsia" w:ascii="仿宋_GB2312" w:hAnsi="仿宋_GB2312" w:eastAsia="仿宋_GB2312" w:cs="仿宋_GB2312"/>
          <w:sz w:val="32"/>
          <w:szCs w:val="32"/>
        </w:rPr>
        <w:t>报名日期:</w:t>
      </w:r>
      <w:r>
        <w:rPr>
          <w:rFonts w:hint="eastAsia" w:ascii="仿宋_GB2312" w:hAnsi="仿宋_GB2312" w:eastAsia="仿宋_GB2312" w:cs="仿宋_GB2312"/>
          <w:sz w:val="32"/>
          <w:szCs w:val="32"/>
          <w:lang w:val="en-US" w:eastAsia="zh-CN"/>
        </w:rPr>
        <w:t>2026年9月1日至2026年9月15日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梁雅谊。</w:t>
      </w:r>
    </w:p>
    <w:p w14:paraId="36F9B6CE">
      <w:pPr>
        <w:keepNext w:val="0"/>
        <w:keepLines w:val="0"/>
        <w:pageBreakBefore w:val="0"/>
        <w:widowControl w:val="0"/>
        <w:kinsoku/>
        <w:wordWrap/>
        <w:overflowPunct/>
        <w:topLinePunct w:val="0"/>
        <w:autoSpaceDE/>
        <w:autoSpaceDN/>
        <w:bidi w:val="0"/>
        <w:adjustRightInd/>
        <w:snapToGrid/>
        <w:spacing w:line="560" w:lineRule="exact"/>
        <w:ind w:right="42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BF4A2A4">
      <w:pPr>
        <w:keepNext w:val="0"/>
        <w:keepLines w:val="0"/>
        <w:pageBreakBefore w:val="0"/>
        <w:widowControl w:val="0"/>
        <w:kinsoku/>
        <w:wordWrap/>
        <w:overflowPunct/>
        <w:topLinePunct w:val="0"/>
        <w:autoSpaceDE/>
        <w:autoSpaceDN/>
        <w:bidi w:val="0"/>
        <w:adjustRightInd/>
        <w:snapToGrid/>
        <w:spacing w:line="560" w:lineRule="exact"/>
        <w:ind w:right="420" w:firstLine="640" w:firstLineChars="200"/>
        <w:jc w:val="both"/>
        <w:textAlignment w:val="auto"/>
        <w:rPr>
          <w:rFonts w:hint="eastAsia" w:ascii="仿宋_GB2312" w:hAnsi="仿宋_GB2312" w:eastAsia="仿宋_GB2312" w:cs="仿宋_GB2312"/>
          <w:sz w:val="32"/>
          <w:szCs w:val="32"/>
          <w:lang w:val="en-US" w:eastAsia="zh-CN"/>
        </w:rPr>
      </w:pPr>
    </w:p>
    <w:p w14:paraId="6189B8D3">
      <w:pPr>
        <w:keepNext w:val="0"/>
        <w:keepLines w:val="0"/>
        <w:pageBreakBefore w:val="0"/>
        <w:widowControl w:val="0"/>
        <w:kinsoku/>
        <w:wordWrap/>
        <w:overflowPunct/>
        <w:topLinePunct w:val="0"/>
        <w:autoSpaceDE/>
        <w:autoSpaceDN/>
        <w:bidi w:val="0"/>
        <w:adjustRightInd/>
        <w:snapToGrid/>
        <w:spacing w:line="560" w:lineRule="exact"/>
        <w:ind w:right="420" w:firstLine="4480" w:firstLineChars="14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吴川市振文镇人民政府</w:t>
      </w:r>
    </w:p>
    <w:p w14:paraId="38E85C93">
      <w:pPr>
        <w:keepNext w:val="0"/>
        <w:keepLines w:val="0"/>
        <w:pageBreakBefore w:val="0"/>
        <w:widowControl w:val="0"/>
        <w:kinsoku/>
        <w:wordWrap/>
        <w:overflowPunct/>
        <w:topLinePunct w:val="0"/>
        <w:autoSpaceDE/>
        <w:autoSpaceDN/>
        <w:bidi w:val="0"/>
        <w:adjustRightInd/>
        <w:snapToGrid/>
        <w:spacing w:line="560" w:lineRule="exact"/>
        <w:ind w:right="420" w:firstLine="4800" w:firstLineChars="1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2026年9月1日</w:t>
      </w:r>
    </w:p>
    <w:p w14:paraId="62C5D3A6">
      <w:pPr>
        <w:keepNext w:val="0"/>
        <w:keepLines w:val="0"/>
        <w:pageBreakBefore w:val="0"/>
        <w:widowControl w:val="0"/>
        <w:kinsoku/>
        <w:wordWrap/>
        <w:overflowPunct/>
        <w:topLinePunct w:val="0"/>
        <w:autoSpaceDE/>
        <w:autoSpaceDN/>
        <w:bidi w:val="0"/>
        <w:adjustRightInd/>
        <w:snapToGrid/>
        <w:spacing w:line="560" w:lineRule="exact"/>
        <w:ind w:right="420"/>
        <w:jc w:val="both"/>
        <w:textAlignment w:val="auto"/>
        <w:rPr>
          <w:rFonts w:hint="eastAsia" w:ascii="仿宋_GB2312" w:hAnsi="仿宋_GB2312" w:eastAsia="仿宋_GB2312" w:cs="仿宋_GB2312"/>
          <w:sz w:val="32"/>
          <w:szCs w:val="32"/>
          <w:lang w:val="en-US" w:eastAsia="zh-CN"/>
        </w:rPr>
      </w:pPr>
    </w:p>
    <w:p w14:paraId="4BD3AD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附件：1.振文镇2026年轮作休耕项目实施方案</w:t>
      </w:r>
    </w:p>
    <w:p w14:paraId="73300A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附件：2.2026年吴川市轮作休耕项目协议</w:t>
      </w:r>
    </w:p>
    <w:p w14:paraId="241869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附件：3.吴川市2026年轮作休耕项目主体申报表</w:t>
      </w:r>
    </w:p>
    <w:p w14:paraId="07AD9C5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b/>
          <w:bCs/>
          <w:sz w:val="32"/>
          <w:szCs w:val="32"/>
          <w:lang w:val="en-US" w:eastAsia="zh-CN"/>
        </w:rPr>
      </w:pPr>
      <w:bookmarkStart w:id="0" w:name="_GoBack"/>
      <w:bookmarkEnd w:id="0"/>
      <w:r>
        <w:rPr>
          <w:rFonts w:hint="eastAsia" w:ascii="仿宋_GB2312" w:hAnsi="仿宋_GB2312" w:eastAsia="仿宋_GB2312" w:cs="仿宋_GB2312"/>
          <w:b/>
          <w:bCs/>
          <w:sz w:val="32"/>
          <w:szCs w:val="32"/>
          <w:lang w:val="en-US" w:eastAsia="zh-CN"/>
        </w:rPr>
        <w:t>附件1</w:t>
      </w:r>
    </w:p>
    <w:p w14:paraId="657B4534">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振文镇2026年轮作休耕项目实施方案</w:t>
      </w:r>
    </w:p>
    <w:p w14:paraId="675F80DB">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CESI仿宋-GB2312" w:hAnsi="CESI仿宋-GB2312" w:eastAsia="CESI仿宋-GB2312" w:cs="CESI仿宋-GB2312"/>
          <w:i w:val="0"/>
          <w:caps w:val="0"/>
          <w:color w:val="000000"/>
          <w:spacing w:val="0"/>
          <w:sz w:val="32"/>
          <w:szCs w:val="32"/>
          <w:shd w:val="clear" w:color="auto" w:fill="FFFFFF"/>
        </w:rPr>
      </w:pPr>
      <w:r>
        <w:rPr>
          <w:rFonts w:hint="default" w:ascii="仿宋_GB2312" w:hAnsi="仿宋_GB2312" w:eastAsia="仿宋_GB2312" w:cs="仿宋_GB2312"/>
          <w:color w:val="000000"/>
          <w:kern w:val="0"/>
          <w:sz w:val="32"/>
          <w:szCs w:val="32"/>
          <w:lang w:val="en-US" w:eastAsia="zh-CN"/>
        </w:rPr>
        <w:t>为深入贯彻党的二十大和二十届历次全会精神，认真落实中央农村工作会议、2026年中央一号文件精神，深入实施国家粮食安全战略，扎实推进新一轮千亿斤粮食产能提升行动，加快构建具有我市特色的轮作制度，全面提升农业综合生产能力和质量效益，持续增强粮食和重要农产品供给保障能力。根据省农业农村厅《关于印发广东省2026年轮作休耕项目实施方案的通知》（粤农农办〔2026〕57号）</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湛江市农业农村局关于印发《湛江市202</w:t>
      </w:r>
      <w:r>
        <w:rPr>
          <w:rFonts w:hint="eastAsia" w:ascii="仿宋_GB2312" w:hAnsi="仿宋_GB2312" w:eastAsia="仿宋_GB2312" w:cs="仿宋_GB2312"/>
          <w:color w:val="000000"/>
          <w:kern w:val="0"/>
          <w:sz w:val="32"/>
          <w:szCs w:val="32"/>
          <w:lang w:val="en-US" w:eastAsia="zh-CN"/>
        </w:rPr>
        <w:t>6年轮作休耕项目实施方案》的通知（</w:t>
      </w:r>
      <w:r>
        <w:rPr>
          <w:rFonts w:hint="default" w:ascii="仿宋_GB2312" w:hAnsi="仿宋_GB2312" w:eastAsia="仿宋_GB2312" w:cs="仿宋_GB2312"/>
          <w:color w:val="000000"/>
          <w:kern w:val="0"/>
          <w:sz w:val="32"/>
          <w:szCs w:val="32"/>
          <w:lang w:val="en-US" w:eastAsia="zh-CN"/>
        </w:rPr>
        <w:t>湛农通〔2026</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 xml:space="preserve">68 </w:t>
      </w:r>
      <w:r>
        <w:rPr>
          <w:rFonts w:hint="eastAsia" w:ascii="仿宋_GB2312" w:hAnsi="仿宋_GB2312" w:eastAsia="仿宋_GB2312" w:cs="仿宋_GB2312"/>
          <w:color w:val="000000"/>
          <w:kern w:val="0"/>
          <w:sz w:val="32"/>
          <w:szCs w:val="32"/>
          <w:lang w:val="en-US" w:eastAsia="zh-CN"/>
        </w:rPr>
        <w:t>号）和吴川市农业农村局关于印发《吴川市2026年轮作休耕项目实施方案》的通知的要求</w:t>
      </w:r>
      <w:r>
        <w:rPr>
          <w:rFonts w:hint="default" w:ascii="仿宋_GB2312" w:hAnsi="仿宋_GB2312" w:eastAsia="仿宋_GB2312" w:cs="仿宋_GB2312"/>
          <w:color w:val="000000"/>
          <w:kern w:val="0"/>
          <w:sz w:val="32"/>
          <w:szCs w:val="32"/>
          <w:lang w:val="en-US" w:eastAsia="zh-CN"/>
        </w:rPr>
        <w:t>，结合我</w:t>
      </w:r>
      <w:r>
        <w:rPr>
          <w:rFonts w:hint="eastAsia" w:ascii="仿宋_GB2312" w:hAnsi="仿宋_GB2312" w:eastAsia="仿宋_GB2312" w:cs="仿宋_GB2312"/>
          <w:color w:val="000000"/>
          <w:kern w:val="0"/>
          <w:sz w:val="32"/>
          <w:szCs w:val="32"/>
          <w:lang w:val="en-US" w:eastAsia="zh-CN"/>
        </w:rPr>
        <w:t>镇</w:t>
      </w:r>
      <w:r>
        <w:rPr>
          <w:rFonts w:hint="default" w:ascii="仿宋_GB2312" w:hAnsi="仿宋_GB2312" w:eastAsia="仿宋_GB2312" w:cs="仿宋_GB2312"/>
          <w:color w:val="000000"/>
          <w:kern w:val="0"/>
          <w:sz w:val="32"/>
          <w:szCs w:val="32"/>
          <w:lang w:val="en-US" w:eastAsia="zh-CN"/>
        </w:rPr>
        <w:t>实际，特制定本实施方案。</w:t>
      </w:r>
    </w:p>
    <w:p w14:paraId="0E60DC50">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总体要求</w:t>
      </w:r>
    </w:p>
    <w:p w14:paraId="1A40A7AC">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default"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以习近平新时代中国特色社会主义思想为指导，坚持将轮作休耕作为统筹当前与长远、协调生产与生态、兼顾用地与养地的重要制度安排。进一步夯实粮食安全根基，持续健全耕地轮作休耕长效机制，深入推进大面积单产提升，持续巩固大豆油料扩种成果。</w:t>
      </w:r>
    </w:p>
    <w:p w14:paraId="06187AF9">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both"/>
        <w:textAlignment w:val="auto"/>
        <w:rPr>
          <w:rFonts w:hint="default"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b/>
          <w:bCs/>
          <w:color w:val="000000"/>
          <w:kern w:val="0"/>
          <w:sz w:val="32"/>
          <w:szCs w:val="32"/>
          <w:lang w:val="en-US" w:eastAsia="zh-CN"/>
        </w:rPr>
        <w:t>——坚持发展与安全并重。</w:t>
      </w:r>
      <w:r>
        <w:rPr>
          <w:rFonts w:hint="default" w:ascii="仿宋_GB2312" w:hAnsi="仿宋_GB2312" w:eastAsia="仿宋_GB2312" w:cs="仿宋_GB2312"/>
          <w:color w:val="000000"/>
          <w:kern w:val="0"/>
          <w:sz w:val="32"/>
          <w:szCs w:val="32"/>
          <w:lang w:val="en-US" w:eastAsia="zh-CN"/>
        </w:rPr>
        <w:t>在严守粮食安全底线的前提下，推动湛江农产品供给结构向质量与效益并重、安全与生态协同的方向转型升级。</w:t>
      </w:r>
    </w:p>
    <w:p w14:paraId="6C279635">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both"/>
        <w:textAlignment w:val="auto"/>
        <w:rPr>
          <w:rFonts w:hint="default"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b/>
          <w:bCs/>
          <w:color w:val="000000"/>
          <w:kern w:val="0"/>
          <w:sz w:val="32"/>
          <w:szCs w:val="32"/>
          <w:lang w:val="en-US" w:eastAsia="zh-CN"/>
        </w:rPr>
        <w:t>——坚持用地与养地平衡。</w:t>
      </w:r>
      <w:r>
        <w:rPr>
          <w:rFonts w:hint="default" w:ascii="仿宋_GB2312" w:hAnsi="仿宋_GB2312" w:eastAsia="仿宋_GB2312" w:cs="仿宋_GB2312"/>
          <w:color w:val="000000"/>
          <w:kern w:val="0"/>
          <w:sz w:val="32"/>
          <w:szCs w:val="32"/>
          <w:lang w:val="en-US" w:eastAsia="zh-CN"/>
        </w:rPr>
        <w:t>以保障参与主体收益不受损为底线，因地制宜推广“稻稻油”“稻稻紫云英”“稻稻菜”“稻稻薯”等特色轮作模式，积极引导农户利用冬闲田种植绿肥，系统提升土壤肥力。</w:t>
      </w:r>
    </w:p>
    <w:p w14:paraId="2BB9332D">
      <w:pPr>
        <w:adjustRightInd w:val="0"/>
        <w:snapToGrid w:val="0"/>
        <w:spacing w:line="590" w:lineRule="exact"/>
        <w:ind w:firstLine="630"/>
        <w:rPr>
          <w:rFonts w:hint="eastAsia" w:ascii="仿宋_GB2312" w:hAnsi="仿宋_GB2312" w:eastAsia="仿宋_GB2312" w:cs="仿宋_GB2312"/>
          <w:color w:val="auto"/>
          <w:kern w:val="0"/>
          <w:sz w:val="32"/>
          <w:szCs w:val="32"/>
        </w:rPr>
      </w:pPr>
      <w:r>
        <w:rPr>
          <w:rFonts w:hint="default" w:ascii="仿宋_GB2312" w:hAnsi="仿宋_GB2312" w:eastAsia="仿宋_GB2312" w:cs="仿宋_GB2312"/>
          <w:b/>
          <w:bCs/>
          <w:color w:val="000000"/>
          <w:kern w:val="0"/>
          <w:sz w:val="32"/>
          <w:szCs w:val="32"/>
          <w:lang w:val="en-US" w:eastAsia="zh-CN"/>
        </w:rPr>
        <w:t>——坚持规划与实效并重。</w:t>
      </w:r>
      <w:r>
        <w:rPr>
          <w:rFonts w:hint="default" w:ascii="仿宋_GB2312" w:hAnsi="仿宋_GB2312" w:eastAsia="仿宋_GB2312" w:cs="仿宋_GB2312"/>
          <w:color w:val="000000"/>
          <w:kern w:val="0"/>
          <w:sz w:val="32"/>
          <w:szCs w:val="32"/>
          <w:lang w:val="en-US" w:eastAsia="zh-CN"/>
        </w:rPr>
        <w:t>科学划定轮作休耕区域，强化过程监测与效果评估，确保轮作休耕制度真正落地见效。</w:t>
      </w:r>
    </w:p>
    <w:p w14:paraId="0A789D6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二、任务内容及区域</w:t>
      </w:r>
    </w:p>
    <w:p w14:paraId="3D265CF1">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sz w:val="32"/>
          <w:szCs w:val="32"/>
          <w:lang w:val="en-US" w:eastAsia="zh-CN"/>
        </w:rPr>
        <w:t>（一）任务内容。</w:t>
      </w:r>
      <w:r>
        <w:rPr>
          <w:rFonts w:hint="default" w:ascii="仿宋_GB2312" w:hAnsi="仿宋_GB2312" w:eastAsia="仿宋_GB2312" w:cs="仿宋_GB2312"/>
          <w:color w:val="000000"/>
          <w:kern w:val="0"/>
          <w:sz w:val="32"/>
          <w:szCs w:val="32"/>
          <w:lang w:val="en-US" w:eastAsia="zh-CN" w:bidi="ar-SA"/>
        </w:rPr>
        <w:t>2026年</w:t>
      </w:r>
      <w:r>
        <w:rPr>
          <w:rFonts w:hint="eastAsia" w:ascii="仿宋_GB2312" w:hAnsi="仿宋_GB2312" w:eastAsia="仿宋_GB2312" w:cs="仿宋_GB2312"/>
          <w:color w:val="000000"/>
          <w:kern w:val="0"/>
          <w:sz w:val="32"/>
          <w:szCs w:val="32"/>
          <w:lang w:val="en-US" w:eastAsia="zh-CN" w:bidi="ar-SA"/>
        </w:rPr>
        <w:t>吴川市</w:t>
      </w:r>
      <w:r>
        <w:rPr>
          <w:rFonts w:hint="default" w:ascii="仿宋_GB2312" w:hAnsi="仿宋_GB2312" w:eastAsia="仿宋_GB2312" w:cs="仿宋_GB2312"/>
          <w:color w:val="000000"/>
          <w:kern w:val="0"/>
          <w:sz w:val="32"/>
          <w:szCs w:val="32"/>
          <w:lang w:val="en-US" w:eastAsia="zh-CN" w:bidi="ar-SA"/>
        </w:rPr>
        <w:t>下达我</w:t>
      </w:r>
      <w:r>
        <w:rPr>
          <w:rFonts w:hint="eastAsia" w:ascii="仿宋_GB2312" w:hAnsi="仿宋_GB2312" w:eastAsia="仿宋_GB2312" w:cs="仿宋_GB2312"/>
          <w:color w:val="000000"/>
          <w:kern w:val="0"/>
          <w:sz w:val="32"/>
          <w:szCs w:val="32"/>
          <w:lang w:val="en-US" w:eastAsia="zh-CN" w:bidi="ar-SA"/>
        </w:rPr>
        <w:t>镇</w:t>
      </w:r>
      <w:r>
        <w:rPr>
          <w:rFonts w:hint="default" w:ascii="仿宋_GB2312" w:hAnsi="仿宋_GB2312" w:eastAsia="仿宋_GB2312" w:cs="仿宋_GB2312"/>
          <w:color w:val="000000"/>
          <w:kern w:val="0"/>
          <w:sz w:val="32"/>
          <w:szCs w:val="32"/>
          <w:lang w:val="en-US" w:eastAsia="zh-CN" w:bidi="ar-SA"/>
        </w:rPr>
        <w:t>轮作休耕实施面积</w:t>
      </w:r>
      <w:r>
        <w:rPr>
          <w:rFonts w:hint="eastAsia" w:ascii="仿宋_GB2312" w:hAnsi="仿宋_GB2312" w:eastAsia="仿宋_GB2312" w:cs="仿宋_GB2312"/>
          <w:color w:val="000000"/>
          <w:kern w:val="0"/>
          <w:sz w:val="32"/>
          <w:szCs w:val="32"/>
          <w:lang w:val="en-US" w:eastAsia="zh-CN" w:bidi="ar-SA"/>
        </w:rPr>
        <w:t>800</w:t>
      </w:r>
      <w:r>
        <w:rPr>
          <w:rFonts w:hint="default" w:ascii="仿宋_GB2312" w:hAnsi="仿宋_GB2312" w:eastAsia="仿宋_GB2312" w:cs="仿宋_GB2312"/>
          <w:color w:val="000000"/>
          <w:kern w:val="0"/>
          <w:sz w:val="32"/>
          <w:szCs w:val="32"/>
          <w:lang w:val="en-US" w:eastAsia="zh-CN" w:bidi="ar-SA"/>
        </w:rPr>
        <w:t>亩，其中“稻稻紫云英”轮作面积不低于</w:t>
      </w:r>
      <w:r>
        <w:rPr>
          <w:rFonts w:hint="eastAsia" w:ascii="仿宋_GB2312" w:hAnsi="仿宋_GB2312" w:eastAsia="仿宋_GB2312" w:cs="仿宋_GB2312"/>
          <w:color w:val="000000"/>
          <w:kern w:val="0"/>
          <w:sz w:val="32"/>
          <w:szCs w:val="32"/>
          <w:lang w:val="en-US" w:eastAsia="zh-CN" w:bidi="ar-SA"/>
        </w:rPr>
        <w:t>700亩</w:t>
      </w:r>
      <w:r>
        <w:rPr>
          <w:rFonts w:hint="default" w:ascii="仿宋_GB2312" w:hAnsi="仿宋_GB2312" w:eastAsia="仿宋_GB2312" w:cs="仿宋_GB2312"/>
          <w:color w:val="000000"/>
          <w:kern w:val="0"/>
          <w:sz w:val="32"/>
          <w:szCs w:val="32"/>
          <w:lang w:val="en-US" w:eastAsia="zh-CN" w:bidi="ar-SA"/>
        </w:rPr>
        <w:t>。围绕稳定双季稻和油料面积的核心目标，重点推行“稻稻油”“稻稻紫云英”等轮作模式，实现用地与养地有机结合，持续提升耕地地力和种植收益</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促进农业生态环境不断优化，为全市农业长远发展夯实根基。</w:t>
      </w:r>
    </w:p>
    <w:p w14:paraId="7DCCD47D">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（二）任务区域。</w:t>
      </w:r>
      <w:r>
        <w:rPr>
          <w:rFonts w:hint="eastAsia" w:ascii="仿宋_GB2312" w:hAnsi="仿宋_GB2312" w:eastAsia="仿宋_GB2312" w:cs="仿宋_GB2312"/>
          <w:sz w:val="32"/>
          <w:szCs w:val="32"/>
          <w:lang w:val="en-US" w:eastAsia="zh-CN"/>
        </w:rPr>
        <w:t>2026年根据各镇反馈汇总的《2026年轮作休耕项目资金和绩效任务拟分配表》并结合比例，任务安排到我镇补贴轮作休耕项目面积800亩，分配资金12万元。</w:t>
      </w:r>
    </w:p>
    <w:p w14:paraId="2C68E97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三、补助对象及标准</w:t>
      </w:r>
    </w:p>
    <w:p w14:paraId="6728C94C">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（一）补助对象。</w:t>
      </w:r>
      <w:r>
        <w:rPr>
          <w:rFonts w:hint="default" w:ascii="仿宋_GB2312" w:hAnsi="仿宋_GB2312" w:eastAsia="仿宋_GB2312" w:cs="仿宋_GB2312"/>
          <w:color w:val="000000"/>
          <w:kern w:val="0"/>
          <w:sz w:val="32"/>
          <w:szCs w:val="32"/>
          <w:lang w:val="en-US" w:eastAsia="zh-CN" w:bidi="ar-SA"/>
        </w:rPr>
        <w:t>直接承担轮作任务的新型经营主体，包括家庭农场、种植大户、农民专业合作社和农业龙头企业等。承担轮作任务的耕地属于土地流转的，补助资金发放给实际承担轮作任务的流转经营户，而非土地承包户。</w:t>
      </w:r>
    </w:p>
    <w:p w14:paraId="63E0B483">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（二）补贴标准。</w:t>
      </w:r>
      <w:r>
        <w:rPr>
          <w:rFonts w:hint="default" w:ascii="仿宋_GB2312" w:hAnsi="仿宋_GB2312" w:eastAsia="仿宋_GB2312" w:cs="仿宋_GB2312"/>
          <w:color w:val="000000"/>
          <w:kern w:val="0"/>
          <w:sz w:val="32"/>
          <w:szCs w:val="32"/>
          <w:lang w:val="en-US" w:eastAsia="zh-CN" w:bidi="ar-SA"/>
        </w:rPr>
        <w:t>每亩补助标准不超过150元。各项目</w:t>
      </w:r>
      <w:r>
        <w:rPr>
          <w:rFonts w:hint="eastAsia" w:ascii="仿宋_GB2312" w:hAnsi="仿宋_GB2312" w:eastAsia="仿宋_GB2312" w:cs="仿宋_GB2312"/>
          <w:color w:val="000000"/>
          <w:kern w:val="0"/>
          <w:sz w:val="32"/>
          <w:szCs w:val="32"/>
          <w:lang w:val="en-US" w:eastAsia="zh-CN" w:bidi="ar-SA"/>
        </w:rPr>
        <w:t>镇（街道）</w:t>
      </w:r>
      <w:r>
        <w:rPr>
          <w:rFonts w:hint="default" w:ascii="仿宋_GB2312" w:hAnsi="仿宋_GB2312" w:eastAsia="仿宋_GB2312" w:cs="仿宋_GB2312"/>
          <w:color w:val="000000"/>
          <w:kern w:val="0"/>
          <w:sz w:val="32"/>
          <w:szCs w:val="32"/>
          <w:lang w:val="en-US" w:eastAsia="zh-CN" w:bidi="ar-SA"/>
        </w:rPr>
        <w:t>可结合本地实际，允许适当降低亩均补助标准，扩大实施面积。</w:t>
      </w:r>
    </w:p>
    <w:p w14:paraId="2432C6C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四、项目实施步骤</w:t>
      </w:r>
    </w:p>
    <w:p w14:paraId="78A60FF0">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（一）确定项目实施区域与实施主体。</w:t>
      </w:r>
      <w:r>
        <w:rPr>
          <w:rFonts w:hint="default" w:ascii="仿宋_GB2312" w:hAnsi="仿宋_GB2312" w:eastAsia="仿宋_GB2312" w:cs="仿宋_GB2312"/>
          <w:sz w:val="32"/>
          <w:szCs w:val="32"/>
          <w:lang w:val="en-US" w:eastAsia="zh-CN"/>
        </w:rPr>
        <w:t>一是轮作面积申报。根据自愿原则，积极组织辖区内新型农业经营主体进行项目申报，同时报</w:t>
      </w:r>
      <w:r>
        <w:rPr>
          <w:rFonts w:hint="eastAsia" w:ascii="仿宋_GB2312" w:hAnsi="仿宋_GB2312" w:eastAsia="仿宋_GB2312" w:cs="仿宋_GB2312"/>
          <w:sz w:val="32"/>
          <w:szCs w:val="32"/>
          <w:lang w:val="en-US" w:eastAsia="zh-CN"/>
        </w:rPr>
        <w:t>市</w:t>
      </w:r>
      <w:r>
        <w:rPr>
          <w:rFonts w:hint="default" w:ascii="仿宋_GB2312" w:hAnsi="仿宋_GB2312" w:eastAsia="仿宋_GB2312" w:cs="仿宋_GB2312"/>
          <w:sz w:val="32"/>
          <w:szCs w:val="32"/>
          <w:lang w:val="en-US" w:eastAsia="zh-CN"/>
        </w:rPr>
        <w:t>农业农村局备案。</w:t>
      </w:r>
    </w:p>
    <w:p w14:paraId="65368B5A">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（二）签订任务协议。</w:t>
      </w:r>
      <w:r>
        <w:rPr>
          <w:rFonts w:hint="eastAsia" w:ascii="仿宋_GB2312" w:hAnsi="仿宋_GB2312" w:eastAsia="仿宋_GB2312" w:cs="仿宋_GB2312"/>
          <w:sz w:val="32"/>
          <w:szCs w:val="32"/>
          <w:lang w:val="en-US" w:eastAsia="zh-CN"/>
        </w:rPr>
        <w:t>我</w:t>
      </w:r>
      <w:r>
        <w:rPr>
          <w:rFonts w:hint="default" w:ascii="仿宋_GB2312" w:hAnsi="仿宋_GB2312" w:eastAsia="仿宋_GB2312" w:cs="仿宋_GB2312"/>
          <w:sz w:val="32"/>
          <w:szCs w:val="32"/>
          <w:lang w:val="en-US" w:eastAsia="zh-CN"/>
        </w:rPr>
        <w:t>镇与任务承担主体签订轮作协议，明确上下茬口作物，层层落实责任，明确责任和义务，协议文本存档备查。</w:t>
      </w:r>
    </w:p>
    <w:p w14:paraId="65536320">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（三）强化跟踪监管。</w:t>
      </w:r>
      <w:r>
        <w:rPr>
          <w:rFonts w:hint="default" w:ascii="仿宋_GB2312" w:hAnsi="仿宋_GB2312" w:eastAsia="仿宋_GB2312" w:cs="仿宋_GB2312"/>
          <w:sz w:val="32"/>
          <w:szCs w:val="32"/>
          <w:lang w:val="en-US" w:eastAsia="zh-CN"/>
        </w:rPr>
        <w:t>加强项目管理，</w:t>
      </w:r>
      <w:r>
        <w:rPr>
          <w:rFonts w:hint="eastAsia" w:ascii="仿宋_GB2312" w:hAnsi="仿宋_GB2312" w:eastAsia="仿宋_GB2312" w:cs="仿宋_GB2312"/>
          <w:sz w:val="32"/>
          <w:szCs w:val="32"/>
          <w:lang w:val="en-US" w:eastAsia="zh-CN"/>
        </w:rPr>
        <w:t>我</w:t>
      </w:r>
      <w:r>
        <w:rPr>
          <w:rFonts w:hint="default" w:ascii="仿宋_GB2312" w:hAnsi="仿宋_GB2312" w:eastAsia="仿宋_GB2312" w:cs="仿宋_GB2312"/>
          <w:sz w:val="32"/>
          <w:szCs w:val="32"/>
          <w:lang w:val="en-US" w:eastAsia="zh-CN"/>
        </w:rPr>
        <w:t>镇要安排专人加强跟踪督促，保障粮油轮作项目有序开展，</w:t>
      </w:r>
      <w:r>
        <w:rPr>
          <w:rFonts w:hint="eastAsia" w:ascii="仿宋_GB2312" w:hAnsi="仿宋_GB2312" w:eastAsia="仿宋_GB2312" w:cs="仿宋_GB2312"/>
          <w:sz w:val="32"/>
          <w:szCs w:val="32"/>
          <w:lang w:val="en-US" w:eastAsia="zh-CN"/>
        </w:rPr>
        <w:t>市</w:t>
      </w:r>
      <w:r>
        <w:rPr>
          <w:rFonts w:hint="default" w:ascii="仿宋_GB2312" w:hAnsi="仿宋_GB2312" w:eastAsia="仿宋_GB2312" w:cs="仿宋_GB2312"/>
          <w:sz w:val="32"/>
          <w:szCs w:val="32"/>
          <w:lang w:val="en-US" w:eastAsia="zh-CN"/>
        </w:rPr>
        <w:t>农业农村局适时对轮作休耕项目实施开展监督检查，做好项目进展调度。</w:t>
      </w:r>
    </w:p>
    <w:p w14:paraId="73E0683D">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（四）组织项目验收。</w:t>
      </w:r>
      <w:r>
        <w:rPr>
          <w:rFonts w:hint="eastAsia" w:ascii="仿宋_GB2312" w:hAnsi="仿宋_GB2312" w:eastAsia="仿宋_GB2312" w:cs="仿宋_GB2312"/>
          <w:sz w:val="32"/>
          <w:szCs w:val="32"/>
          <w:lang w:val="en-US" w:eastAsia="zh-CN"/>
        </w:rPr>
        <w:t>由市农业农村局聘请第三方配合各项目镇开展对实施主体的每一造作物轮作休耕</w:t>
      </w:r>
      <w:r>
        <w:rPr>
          <w:rFonts w:hint="default" w:ascii="仿宋_GB2312" w:hAnsi="仿宋_GB2312" w:eastAsia="仿宋_GB2312" w:cs="仿宋_GB2312"/>
          <w:sz w:val="32"/>
          <w:szCs w:val="32"/>
          <w:lang w:val="en-US" w:eastAsia="zh-CN"/>
        </w:rPr>
        <w:t>完成情况</w:t>
      </w:r>
      <w:r>
        <w:rPr>
          <w:rFonts w:hint="eastAsia" w:ascii="仿宋_GB2312" w:hAnsi="仿宋_GB2312" w:eastAsia="仿宋_GB2312" w:cs="仿宋_GB2312"/>
          <w:sz w:val="32"/>
          <w:szCs w:val="32"/>
          <w:lang w:val="en-US" w:eastAsia="zh-CN"/>
        </w:rPr>
        <w:t>和实施面积进行核实验收。</w:t>
      </w:r>
    </w:p>
    <w:p w14:paraId="3B55874C">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（五）兑付补贴资金。</w:t>
      </w:r>
      <w:r>
        <w:rPr>
          <w:rFonts w:hint="default" w:ascii="仿宋_GB2312" w:hAnsi="仿宋_GB2312" w:eastAsia="仿宋_GB2312" w:cs="仿宋_GB2312"/>
          <w:color w:val="000000"/>
          <w:kern w:val="0"/>
          <w:sz w:val="32"/>
          <w:szCs w:val="32"/>
          <w:lang w:val="en-US" w:eastAsia="zh-CN" w:bidi="ar-SA"/>
        </w:rPr>
        <w:t>县级公示无异议后，汇总相关资料</w:t>
      </w:r>
      <w:r>
        <w:rPr>
          <w:rFonts w:hint="eastAsia" w:ascii="仿宋_GB2312" w:hAnsi="仿宋_GB2312" w:eastAsia="仿宋_GB2312" w:cs="仿宋_GB2312"/>
          <w:color w:val="000000"/>
          <w:kern w:val="0"/>
          <w:sz w:val="32"/>
          <w:szCs w:val="32"/>
          <w:lang w:val="en-US" w:eastAsia="zh-CN" w:bidi="ar-SA"/>
        </w:rPr>
        <w:t>向湛江</w:t>
      </w:r>
      <w:r>
        <w:rPr>
          <w:rFonts w:hint="default" w:ascii="仿宋_GB2312" w:hAnsi="仿宋_GB2312" w:eastAsia="仿宋_GB2312" w:cs="仿宋_GB2312"/>
          <w:color w:val="000000"/>
          <w:kern w:val="0"/>
          <w:sz w:val="32"/>
          <w:szCs w:val="32"/>
          <w:lang w:val="en-US" w:eastAsia="zh-CN" w:bidi="ar-SA"/>
        </w:rPr>
        <w:t>市农业农村局</w:t>
      </w:r>
      <w:r>
        <w:rPr>
          <w:rFonts w:hint="eastAsia" w:ascii="仿宋_GB2312" w:hAnsi="仿宋_GB2312" w:eastAsia="仿宋_GB2312" w:cs="仿宋_GB2312"/>
          <w:color w:val="000000"/>
          <w:kern w:val="0"/>
          <w:sz w:val="32"/>
          <w:szCs w:val="32"/>
          <w:lang w:val="en-US" w:eastAsia="zh-CN" w:bidi="ar-SA"/>
        </w:rPr>
        <w:t>申请项目验收</w:t>
      </w:r>
      <w:r>
        <w:rPr>
          <w:rFonts w:hint="default" w:ascii="仿宋_GB2312" w:hAnsi="仿宋_GB2312" w:eastAsia="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湛江</w:t>
      </w:r>
      <w:r>
        <w:rPr>
          <w:rFonts w:hint="default" w:ascii="仿宋_GB2312" w:hAnsi="仿宋_GB2312" w:eastAsia="仿宋_GB2312" w:cs="仿宋_GB2312"/>
          <w:color w:val="000000"/>
          <w:kern w:val="0"/>
          <w:sz w:val="32"/>
          <w:szCs w:val="32"/>
          <w:lang w:val="en-US" w:eastAsia="zh-CN" w:bidi="ar-SA"/>
        </w:rPr>
        <w:t>市农业农村局</w:t>
      </w:r>
      <w:r>
        <w:rPr>
          <w:rFonts w:hint="eastAsia" w:ascii="仿宋_GB2312" w:hAnsi="仿宋_GB2312" w:eastAsia="仿宋_GB2312" w:cs="仿宋_GB2312"/>
          <w:color w:val="000000"/>
          <w:kern w:val="0"/>
          <w:sz w:val="32"/>
          <w:szCs w:val="32"/>
          <w:lang w:val="en-US" w:eastAsia="zh-CN" w:bidi="ar-SA"/>
        </w:rPr>
        <w:t>验收通过</w:t>
      </w:r>
      <w:r>
        <w:rPr>
          <w:rFonts w:hint="default" w:ascii="仿宋_GB2312" w:hAnsi="仿宋_GB2312" w:eastAsia="仿宋_GB2312" w:cs="仿宋_GB2312"/>
          <w:color w:val="000000"/>
          <w:kern w:val="0"/>
          <w:sz w:val="32"/>
          <w:szCs w:val="32"/>
          <w:lang w:val="en-US" w:eastAsia="zh-CN" w:bidi="ar-SA"/>
        </w:rPr>
        <w:t>后</w:t>
      </w:r>
      <w:r>
        <w:rPr>
          <w:rFonts w:hint="eastAsia" w:ascii="仿宋_GB2312" w:hAnsi="仿宋_GB2312" w:eastAsia="仿宋_GB2312" w:cs="仿宋_GB2312"/>
          <w:color w:val="000000"/>
          <w:kern w:val="0"/>
          <w:sz w:val="32"/>
          <w:szCs w:val="32"/>
          <w:lang w:val="en-US" w:eastAsia="zh-CN" w:bidi="ar-SA"/>
        </w:rPr>
        <w:t>，向吴川</w:t>
      </w:r>
      <w:r>
        <w:rPr>
          <w:rFonts w:hint="default" w:ascii="仿宋_GB2312" w:hAnsi="仿宋_GB2312" w:eastAsia="仿宋_GB2312" w:cs="仿宋_GB2312"/>
          <w:color w:val="000000"/>
          <w:kern w:val="0"/>
          <w:sz w:val="32"/>
          <w:szCs w:val="32"/>
          <w:lang w:val="en-US" w:eastAsia="zh-CN" w:bidi="ar-SA"/>
        </w:rPr>
        <w:t>市财政局</w:t>
      </w:r>
      <w:r>
        <w:rPr>
          <w:rFonts w:hint="eastAsia" w:ascii="仿宋_GB2312" w:hAnsi="仿宋_GB2312" w:eastAsia="仿宋_GB2312" w:cs="仿宋_GB2312"/>
          <w:color w:val="000000"/>
          <w:kern w:val="0"/>
          <w:sz w:val="32"/>
          <w:szCs w:val="32"/>
          <w:lang w:val="en-US" w:eastAsia="zh-CN" w:bidi="ar-SA"/>
        </w:rPr>
        <w:t>申请资金</w:t>
      </w:r>
      <w:r>
        <w:rPr>
          <w:rFonts w:hint="default" w:ascii="仿宋_GB2312" w:hAnsi="仿宋_GB2312" w:eastAsia="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市财政局将</w:t>
      </w:r>
      <w:r>
        <w:rPr>
          <w:rFonts w:hint="default" w:ascii="仿宋_GB2312" w:hAnsi="仿宋_GB2312" w:eastAsia="仿宋_GB2312" w:cs="仿宋_GB2312"/>
          <w:color w:val="000000"/>
          <w:kern w:val="0"/>
          <w:sz w:val="32"/>
          <w:szCs w:val="32"/>
          <w:lang w:val="en-US" w:eastAsia="zh-CN" w:bidi="ar-SA"/>
        </w:rPr>
        <w:t>拨付补贴资金</w:t>
      </w:r>
      <w:r>
        <w:rPr>
          <w:rFonts w:hint="eastAsia" w:ascii="仿宋_GB2312" w:hAnsi="仿宋_GB2312" w:eastAsia="仿宋_GB2312" w:cs="仿宋_GB2312"/>
          <w:color w:val="000000"/>
          <w:kern w:val="0"/>
          <w:sz w:val="32"/>
          <w:szCs w:val="32"/>
          <w:lang w:val="en-US" w:eastAsia="zh-CN" w:bidi="ar-SA"/>
        </w:rPr>
        <w:t>通过“一卡通”（合作社企业形式申报拨付到公户）直接拨付</w:t>
      </w:r>
      <w:r>
        <w:rPr>
          <w:rFonts w:hint="default" w:ascii="仿宋_GB2312" w:hAnsi="仿宋_GB2312" w:eastAsia="仿宋_GB2312" w:cs="仿宋_GB2312"/>
          <w:color w:val="000000"/>
          <w:kern w:val="0"/>
          <w:sz w:val="32"/>
          <w:szCs w:val="32"/>
          <w:lang w:val="en-US" w:eastAsia="zh-CN" w:bidi="ar-SA"/>
        </w:rPr>
        <w:t>至申报主体账户。</w:t>
      </w:r>
    </w:p>
    <w:p w14:paraId="776FF250">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（六）及时上报总结</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我</w:t>
      </w:r>
      <w:r>
        <w:rPr>
          <w:rFonts w:hint="default" w:ascii="仿宋_GB2312" w:hAnsi="仿宋_GB2312" w:eastAsia="仿宋_GB2312" w:cs="仿宋_GB2312"/>
          <w:sz w:val="32"/>
          <w:szCs w:val="32"/>
          <w:lang w:val="en-US" w:eastAsia="zh-CN"/>
        </w:rPr>
        <w:t>镇要及时上报相关信息，认真开展自评总结。要及时将实施方案、实施情况以及总结等有关文档和照片资料立卷归档，报送</w:t>
      </w:r>
      <w:r>
        <w:rPr>
          <w:rFonts w:hint="eastAsia" w:ascii="仿宋_GB2312" w:hAnsi="仿宋_GB2312" w:eastAsia="仿宋_GB2312" w:cs="仿宋_GB2312"/>
          <w:sz w:val="32"/>
          <w:szCs w:val="32"/>
          <w:lang w:val="en-US" w:eastAsia="zh-CN"/>
        </w:rPr>
        <w:t>市</w:t>
      </w:r>
      <w:r>
        <w:rPr>
          <w:rFonts w:hint="default" w:ascii="仿宋_GB2312" w:hAnsi="仿宋_GB2312" w:eastAsia="仿宋_GB2312" w:cs="仿宋_GB2312"/>
          <w:sz w:val="32"/>
          <w:szCs w:val="32"/>
          <w:lang w:val="en-US" w:eastAsia="zh-CN"/>
        </w:rPr>
        <w:t>农业农村局。</w:t>
      </w:r>
    </w:p>
    <w:p w14:paraId="0E73D15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五、工作要求和保障措施</w:t>
      </w:r>
      <w:r>
        <w:rPr>
          <w:rFonts w:hint="default" w:ascii="仿宋_GB2312" w:hAnsi="仿宋_GB2312" w:eastAsia="仿宋_GB2312" w:cs="仿宋_GB2312"/>
          <w:sz w:val="32"/>
          <w:szCs w:val="32"/>
          <w:lang w:val="en-US" w:eastAsia="zh-CN"/>
        </w:rPr>
        <w:t xml:space="preserve"> </w:t>
      </w:r>
    </w:p>
    <w:p w14:paraId="085ACEC4">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（一）</w:t>
      </w:r>
      <w:r>
        <w:rPr>
          <w:rFonts w:hint="default" w:ascii="仿宋_GB2312" w:hAnsi="仿宋_GB2312" w:eastAsia="仿宋_GB2312" w:cs="仿宋_GB2312"/>
          <w:b/>
          <w:bCs/>
          <w:color w:val="000000"/>
          <w:kern w:val="0"/>
          <w:sz w:val="32"/>
          <w:szCs w:val="32"/>
          <w:lang w:val="en-US" w:eastAsia="zh-CN" w:bidi="ar-SA"/>
        </w:rPr>
        <w:t>实施过程佐证材料</w:t>
      </w:r>
      <w:r>
        <w:rPr>
          <w:rFonts w:hint="eastAsia" w:ascii="仿宋_GB2312" w:hAnsi="仿宋_GB2312" w:eastAsia="仿宋_GB2312" w:cs="仿宋_GB2312"/>
          <w:b/>
          <w:bCs/>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实施过程提供</w:t>
      </w:r>
      <w:r>
        <w:rPr>
          <w:rFonts w:hint="default" w:ascii="仿宋_GB2312" w:hAnsi="仿宋_GB2312" w:eastAsia="仿宋_GB2312" w:cs="仿宋_GB2312"/>
          <w:color w:val="000000"/>
          <w:kern w:val="0"/>
          <w:sz w:val="32"/>
          <w:szCs w:val="32"/>
          <w:lang w:val="en-US" w:eastAsia="zh-CN" w:bidi="ar-SA"/>
        </w:rPr>
        <w:t>田间</w:t>
      </w:r>
      <w:r>
        <w:rPr>
          <w:rFonts w:hint="eastAsia" w:ascii="仿宋_GB2312" w:hAnsi="仿宋_GB2312" w:eastAsia="仿宋_GB2312" w:cs="仿宋_GB2312"/>
          <w:color w:val="000000"/>
          <w:kern w:val="0"/>
          <w:sz w:val="32"/>
          <w:szCs w:val="32"/>
          <w:lang w:val="en-US" w:eastAsia="zh-CN" w:bidi="ar-SA"/>
        </w:rPr>
        <w:t>种植图片即可，图片原则上</w:t>
      </w:r>
      <w:r>
        <w:rPr>
          <w:rFonts w:hint="default" w:ascii="仿宋_GB2312" w:hAnsi="仿宋_GB2312" w:eastAsia="仿宋_GB2312" w:cs="仿宋_GB2312"/>
          <w:color w:val="000000"/>
          <w:kern w:val="0"/>
          <w:sz w:val="32"/>
          <w:szCs w:val="32"/>
          <w:lang w:val="en-US" w:eastAsia="zh-CN" w:bidi="ar-SA"/>
        </w:rPr>
        <w:t>统一使用水印相机拍摄，水印包含主体名称+乡镇村+拍摄日期+</w:t>
      </w:r>
      <w:r>
        <w:rPr>
          <w:rFonts w:hint="eastAsia" w:ascii="仿宋_GB2312" w:hAnsi="仿宋_GB2312" w:eastAsia="仿宋_GB2312" w:cs="仿宋_GB2312"/>
          <w:color w:val="000000"/>
          <w:kern w:val="0"/>
          <w:sz w:val="32"/>
          <w:szCs w:val="32"/>
          <w:lang w:val="en-US" w:eastAsia="zh-CN" w:bidi="ar-SA"/>
        </w:rPr>
        <w:t>作物类别</w:t>
      </w:r>
      <w:r>
        <w:rPr>
          <w:rFonts w:hint="default" w:ascii="仿宋_GB2312" w:hAnsi="仿宋_GB2312" w:eastAsia="仿宋_GB2312" w:cs="仿宋_GB2312"/>
          <w:color w:val="000000"/>
          <w:kern w:val="0"/>
          <w:sz w:val="32"/>
          <w:szCs w:val="32"/>
          <w:lang w:val="en-US" w:eastAsia="zh-CN" w:bidi="ar-SA"/>
        </w:rPr>
        <w:t>；早稻、晚稻</w:t>
      </w:r>
      <w:r>
        <w:rPr>
          <w:rFonts w:hint="eastAsia" w:ascii="仿宋_GB2312" w:hAnsi="仿宋_GB2312" w:eastAsia="仿宋_GB2312" w:cs="仿宋_GB2312"/>
          <w:color w:val="000000"/>
          <w:kern w:val="0"/>
          <w:sz w:val="32"/>
          <w:szCs w:val="32"/>
          <w:lang w:val="en-US" w:eastAsia="zh-CN" w:bidi="ar-SA"/>
        </w:rPr>
        <w:t>及冬种作物</w:t>
      </w:r>
      <w:r>
        <w:rPr>
          <w:rFonts w:hint="default" w:ascii="仿宋_GB2312" w:hAnsi="仿宋_GB2312" w:eastAsia="仿宋_GB2312" w:cs="仿宋_GB2312"/>
          <w:color w:val="000000"/>
          <w:kern w:val="0"/>
          <w:sz w:val="32"/>
          <w:szCs w:val="32"/>
          <w:lang w:val="en-US" w:eastAsia="zh-CN" w:bidi="ar-SA"/>
        </w:rPr>
        <w:t>种植现场照片，每个</w:t>
      </w:r>
      <w:r>
        <w:rPr>
          <w:rFonts w:hint="eastAsia" w:ascii="仿宋_GB2312" w:hAnsi="仿宋_GB2312" w:eastAsia="仿宋_GB2312" w:cs="仿宋_GB2312"/>
          <w:color w:val="000000"/>
          <w:kern w:val="0"/>
          <w:sz w:val="32"/>
          <w:szCs w:val="32"/>
          <w:lang w:val="en-US" w:eastAsia="zh-CN" w:bidi="ar-SA"/>
        </w:rPr>
        <w:t>作物生育期</w:t>
      </w:r>
      <w:r>
        <w:rPr>
          <w:rFonts w:hint="default" w:ascii="仿宋_GB2312" w:hAnsi="仿宋_GB2312" w:eastAsia="仿宋_GB2312" w:cs="仿宋_GB2312"/>
          <w:color w:val="000000"/>
          <w:kern w:val="0"/>
          <w:sz w:val="32"/>
          <w:szCs w:val="32"/>
          <w:lang w:val="en-US" w:eastAsia="zh-CN" w:bidi="ar-SA"/>
        </w:rPr>
        <w:t>不少于5张照片</w:t>
      </w:r>
      <w:r>
        <w:rPr>
          <w:rFonts w:hint="eastAsia" w:ascii="仿宋_GB2312" w:hAnsi="仿宋_GB2312" w:eastAsia="仿宋_GB2312" w:cs="仿宋_GB2312"/>
          <w:color w:val="000000"/>
          <w:kern w:val="0"/>
          <w:sz w:val="32"/>
          <w:szCs w:val="32"/>
          <w:lang w:val="en-US" w:eastAsia="zh-CN" w:bidi="ar-SA"/>
        </w:rPr>
        <w:t>。</w:t>
      </w:r>
    </w:p>
    <w:p w14:paraId="248088DE">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（二）强化指导检查。</w:t>
      </w:r>
      <w:r>
        <w:rPr>
          <w:rFonts w:hint="eastAsia" w:ascii="仿宋_GB2312" w:hAnsi="仿宋_GB2312" w:eastAsia="仿宋_GB2312" w:cs="仿宋_GB2312"/>
          <w:b w:val="0"/>
          <w:bCs w:val="0"/>
          <w:sz w:val="32"/>
          <w:szCs w:val="32"/>
          <w:lang w:val="en-US" w:eastAsia="zh-CN"/>
        </w:rPr>
        <w:t>市农业农村局</w:t>
      </w:r>
      <w:r>
        <w:rPr>
          <w:rFonts w:hint="default" w:ascii="仿宋_GB2312" w:hAnsi="仿宋_GB2312" w:eastAsia="仿宋_GB2312" w:cs="仿宋_GB2312"/>
          <w:b w:val="0"/>
          <w:bCs w:val="0"/>
          <w:sz w:val="32"/>
          <w:szCs w:val="32"/>
          <w:lang w:val="en-US" w:eastAsia="zh-CN"/>
        </w:rPr>
        <w:t>不</w:t>
      </w:r>
      <w:r>
        <w:rPr>
          <w:rFonts w:hint="default" w:ascii="仿宋_GB2312" w:hAnsi="仿宋_GB2312" w:eastAsia="仿宋_GB2312" w:cs="仿宋_GB2312"/>
          <w:sz w:val="32"/>
          <w:szCs w:val="32"/>
          <w:lang w:val="en-US" w:eastAsia="zh-CN"/>
        </w:rPr>
        <w:t>定期组织有关专家指导，及时解决遇到的问题，推动任务落实</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技术落实和指导服务落实。</w:t>
      </w:r>
      <w:r>
        <w:rPr>
          <w:rFonts w:hint="eastAsia" w:ascii="仿宋_GB2312" w:hAnsi="仿宋_GB2312" w:eastAsia="仿宋_GB2312" w:cs="仿宋_GB2312"/>
          <w:sz w:val="32"/>
          <w:szCs w:val="32"/>
          <w:lang w:val="en-US" w:eastAsia="zh-CN"/>
        </w:rPr>
        <w:t>我</w:t>
      </w:r>
      <w:r>
        <w:rPr>
          <w:rFonts w:hint="default" w:ascii="仿宋_GB2312" w:hAnsi="仿宋_GB2312" w:eastAsia="仿宋_GB2312" w:cs="仿宋_GB2312"/>
          <w:sz w:val="32"/>
          <w:szCs w:val="32"/>
          <w:lang w:val="en-US" w:eastAsia="zh-CN"/>
        </w:rPr>
        <w:t>镇依托已有</w:t>
      </w:r>
      <w:r>
        <w:rPr>
          <w:rFonts w:hint="eastAsia" w:ascii="仿宋_GB2312" w:hAnsi="仿宋_GB2312" w:eastAsia="仿宋_GB2312" w:cs="仿宋_GB2312"/>
          <w:sz w:val="32"/>
          <w:szCs w:val="32"/>
          <w:lang w:val="en-US" w:eastAsia="zh-CN"/>
        </w:rPr>
        <w:t>种植</w:t>
      </w:r>
      <w:r>
        <w:rPr>
          <w:rFonts w:hint="default" w:ascii="仿宋_GB2312" w:hAnsi="仿宋_GB2312" w:eastAsia="仿宋_GB2312" w:cs="仿宋_GB2312"/>
          <w:sz w:val="32"/>
          <w:szCs w:val="32"/>
          <w:lang w:val="en-US" w:eastAsia="zh-CN"/>
        </w:rPr>
        <w:t>专家，及时组织农技人员深入一线开展技术培训和指导服务，加强检查指导，为粮油轮作试点工作提供技术保障。</w:t>
      </w:r>
    </w:p>
    <w:p w14:paraId="79EA158A">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（三）严格遴选项目实施主体。</w:t>
      </w:r>
      <w:r>
        <w:rPr>
          <w:rFonts w:hint="default" w:ascii="仿宋_GB2312" w:hAnsi="仿宋_GB2312" w:eastAsia="仿宋_GB2312" w:cs="仿宋_GB2312"/>
          <w:sz w:val="32"/>
          <w:szCs w:val="32"/>
          <w:lang w:val="en-US" w:eastAsia="zh-CN"/>
        </w:rPr>
        <w:t>粮油轮作项目是稳定粮食生产的一项重要惠农政策，项目镇务必严格遴选项目实施主体，切实将该政策落实到实际种粮户手中，维护种粮户合法权益，调动种粮积极性。</w:t>
      </w:r>
    </w:p>
    <w:p w14:paraId="7597D487">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（四）做好宣传总结。</w:t>
      </w:r>
      <w:r>
        <w:rPr>
          <w:rFonts w:hint="default" w:ascii="仿宋_GB2312" w:hAnsi="仿宋_GB2312" w:eastAsia="仿宋_GB2312" w:cs="仿宋_GB2312"/>
          <w:sz w:val="32"/>
          <w:szCs w:val="32"/>
          <w:lang w:val="en-US" w:eastAsia="zh-CN"/>
        </w:rPr>
        <w:t>充分利用广播、电视、网络等媒体，宣传粮油轮作的重要意义和有关要求，引导社会各界关注支持粮油轮作工作。通过现场观摩、经验交流、典型示范等方式，宣传轮作的积极成效，营造良好舆论氛围。</w:t>
      </w:r>
    </w:p>
    <w:p w14:paraId="6988FBE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2511D04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795AD08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44066BA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743D454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300BB823">
      <w:pPr>
        <w:keepNext w:val="0"/>
        <w:keepLines w:val="0"/>
        <w:pageBreakBefore w:val="0"/>
        <w:widowControl w:val="0"/>
        <w:kinsoku/>
        <w:wordWrap/>
        <w:overflowPunct/>
        <w:topLinePunct w:val="0"/>
        <w:autoSpaceDE/>
        <w:autoSpaceDN/>
        <w:bidi w:val="0"/>
        <w:adjustRightInd/>
        <w:snapToGrid/>
        <w:spacing w:line="520" w:lineRule="exact"/>
        <w:ind w:firstLine="1600" w:firstLineChars="500"/>
        <w:jc w:val="left"/>
        <w:textAlignment w:val="auto"/>
        <w:rPr>
          <w:rFonts w:hint="default" w:ascii="仿宋_GB2312" w:hAnsi="仿宋_GB2312" w:eastAsia="仿宋_GB2312" w:cs="仿宋_GB2312"/>
          <w:sz w:val="32"/>
          <w:szCs w:val="32"/>
          <w:lang w:val="en-US" w:eastAsia="zh-CN"/>
        </w:rPr>
      </w:pPr>
    </w:p>
    <w:p w14:paraId="0F920D89">
      <w:pPr>
        <w:keepNext w:val="0"/>
        <w:keepLines w:val="0"/>
        <w:pageBreakBefore w:val="0"/>
        <w:widowControl w:val="0"/>
        <w:kinsoku/>
        <w:wordWrap/>
        <w:overflowPunct/>
        <w:topLinePunct w:val="0"/>
        <w:autoSpaceDE/>
        <w:autoSpaceDN/>
        <w:bidi w:val="0"/>
        <w:adjustRightInd/>
        <w:snapToGrid/>
        <w:spacing w:line="520" w:lineRule="exact"/>
        <w:ind w:firstLine="1600" w:firstLineChars="500"/>
        <w:jc w:val="left"/>
        <w:textAlignment w:val="auto"/>
        <w:rPr>
          <w:rFonts w:hint="default" w:ascii="仿宋_GB2312" w:hAnsi="仿宋_GB2312" w:eastAsia="仿宋_GB2312" w:cs="仿宋_GB2312"/>
          <w:sz w:val="32"/>
          <w:szCs w:val="32"/>
          <w:lang w:val="en-US" w:eastAsia="zh-CN"/>
        </w:rPr>
      </w:pPr>
    </w:p>
    <w:p w14:paraId="119AF760">
      <w:pPr>
        <w:keepNext w:val="0"/>
        <w:keepLines w:val="0"/>
        <w:pageBreakBefore w:val="0"/>
        <w:widowControl w:val="0"/>
        <w:kinsoku/>
        <w:wordWrap/>
        <w:overflowPunct/>
        <w:topLinePunct w:val="0"/>
        <w:autoSpaceDE/>
        <w:autoSpaceDN/>
        <w:bidi w:val="0"/>
        <w:adjustRightInd/>
        <w:snapToGrid/>
        <w:spacing w:line="520" w:lineRule="exact"/>
        <w:ind w:firstLine="1600" w:firstLineChars="500"/>
        <w:jc w:val="left"/>
        <w:textAlignment w:val="auto"/>
        <w:rPr>
          <w:rFonts w:hint="default" w:ascii="仿宋_GB2312" w:hAnsi="仿宋_GB2312" w:eastAsia="仿宋_GB2312" w:cs="仿宋_GB2312"/>
          <w:sz w:val="32"/>
          <w:szCs w:val="32"/>
          <w:lang w:val="en-US" w:eastAsia="zh-CN"/>
        </w:rPr>
      </w:pPr>
    </w:p>
    <w:p w14:paraId="4CA1DBBA">
      <w:pPr>
        <w:keepNext w:val="0"/>
        <w:keepLines w:val="0"/>
        <w:pageBreakBefore w:val="0"/>
        <w:widowControl w:val="0"/>
        <w:kinsoku/>
        <w:wordWrap/>
        <w:overflowPunct/>
        <w:topLinePunct w:val="0"/>
        <w:autoSpaceDE/>
        <w:autoSpaceDN/>
        <w:bidi w:val="0"/>
        <w:adjustRightInd/>
        <w:snapToGrid/>
        <w:spacing w:line="520" w:lineRule="exact"/>
        <w:ind w:firstLine="1600" w:firstLineChars="500"/>
        <w:jc w:val="left"/>
        <w:textAlignment w:val="auto"/>
        <w:rPr>
          <w:rFonts w:hint="default" w:ascii="仿宋_GB2312" w:hAnsi="仿宋_GB2312" w:eastAsia="仿宋_GB2312" w:cs="仿宋_GB2312"/>
          <w:sz w:val="32"/>
          <w:szCs w:val="32"/>
          <w:lang w:val="en-US" w:eastAsia="zh-CN"/>
        </w:rPr>
      </w:pPr>
    </w:p>
    <w:p w14:paraId="78117C05">
      <w:pPr>
        <w:keepNext w:val="0"/>
        <w:keepLines w:val="0"/>
        <w:pageBreakBefore w:val="0"/>
        <w:widowControl w:val="0"/>
        <w:kinsoku/>
        <w:wordWrap/>
        <w:overflowPunct/>
        <w:topLinePunct w:val="0"/>
        <w:autoSpaceDE/>
        <w:autoSpaceDN/>
        <w:bidi w:val="0"/>
        <w:adjustRightInd/>
        <w:snapToGrid/>
        <w:spacing w:line="520" w:lineRule="exact"/>
        <w:ind w:firstLine="1600" w:firstLineChars="500"/>
        <w:jc w:val="left"/>
        <w:textAlignment w:val="auto"/>
        <w:rPr>
          <w:rFonts w:hint="default" w:ascii="仿宋_GB2312" w:hAnsi="仿宋_GB2312" w:eastAsia="仿宋_GB2312" w:cs="仿宋_GB2312"/>
          <w:sz w:val="32"/>
          <w:szCs w:val="32"/>
          <w:lang w:val="en-US" w:eastAsia="zh-CN"/>
        </w:rPr>
      </w:pPr>
    </w:p>
    <w:p w14:paraId="433ABFF2">
      <w:pPr>
        <w:keepNext w:val="0"/>
        <w:keepLines w:val="0"/>
        <w:pageBreakBefore w:val="0"/>
        <w:widowControl w:val="0"/>
        <w:kinsoku/>
        <w:wordWrap/>
        <w:overflowPunct/>
        <w:topLinePunct w:val="0"/>
        <w:autoSpaceDE/>
        <w:autoSpaceDN/>
        <w:bidi w:val="0"/>
        <w:adjustRightInd/>
        <w:snapToGrid/>
        <w:spacing w:line="520" w:lineRule="exact"/>
        <w:ind w:firstLine="1600" w:firstLineChars="500"/>
        <w:jc w:val="left"/>
        <w:textAlignment w:val="auto"/>
        <w:rPr>
          <w:rFonts w:hint="default" w:ascii="仿宋_GB2312" w:hAnsi="仿宋_GB2312" w:eastAsia="仿宋_GB2312" w:cs="仿宋_GB2312"/>
          <w:sz w:val="32"/>
          <w:szCs w:val="32"/>
          <w:lang w:val="en-US" w:eastAsia="zh-CN"/>
        </w:rPr>
      </w:pPr>
    </w:p>
    <w:p w14:paraId="6CF4CB6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32"/>
          <w:szCs w:val="32"/>
          <w:lang w:val="en-US" w:eastAsia="zh-CN"/>
        </w:rPr>
      </w:pPr>
    </w:p>
    <w:p w14:paraId="7094FFE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32"/>
          <w:szCs w:val="32"/>
          <w:lang w:val="en-US" w:eastAsia="zh-CN"/>
        </w:rPr>
      </w:pPr>
    </w:p>
    <w:p w14:paraId="661A56E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32"/>
          <w:szCs w:val="32"/>
          <w:lang w:val="en-US" w:eastAsia="zh-CN"/>
        </w:rPr>
      </w:pPr>
    </w:p>
    <w:p w14:paraId="6C6B48D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32"/>
          <w:szCs w:val="32"/>
          <w:lang w:val="en-US" w:eastAsia="zh-CN"/>
        </w:rPr>
      </w:pPr>
    </w:p>
    <w:p w14:paraId="4A635F0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32"/>
          <w:szCs w:val="32"/>
          <w:lang w:val="en-US" w:eastAsia="zh-CN"/>
        </w:rPr>
      </w:pPr>
    </w:p>
    <w:p w14:paraId="04B3541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32"/>
          <w:szCs w:val="32"/>
          <w:lang w:val="en-US" w:eastAsia="zh-CN"/>
        </w:rPr>
      </w:pPr>
    </w:p>
    <w:p w14:paraId="090460C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32"/>
          <w:szCs w:val="32"/>
          <w:lang w:val="en-US" w:eastAsia="zh-CN"/>
        </w:rPr>
      </w:pPr>
    </w:p>
    <w:p w14:paraId="36CB8F9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附件</w:t>
      </w:r>
      <w:r>
        <w:rPr>
          <w:rFonts w:hint="eastAsia" w:ascii="仿宋_GB2312" w:hAnsi="仿宋_GB2312" w:eastAsia="仿宋_GB2312" w:cs="仿宋_GB2312"/>
          <w:b/>
          <w:bCs/>
          <w:sz w:val="32"/>
          <w:szCs w:val="32"/>
          <w:lang w:val="en-US" w:eastAsia="zh-CN"/>
        </w:rPr>
        <w:t>2</w:t>
      </w:r>
    </w:p>
    <w:p w14:paraId="7CE6A71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吴川市2026年轮作休耕项目协议</w:t>
      </w:r>
    </w:p>
    <w:p w14:paraId="6B04A1D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119B38E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委托方：                  （以下简称甲方）</w:t>
      </w:r>
    </w:p>
    <w:p w14:paraId="077E842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507225B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法人代表：                </w:t>
      </w:r>
    </w:p>
    <w:p w14:paraId="1C2CA35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4356BDD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受托方：                  （以下简称乙方）</w:t>
      </w:r>
    </w:p>
    <w:p w14:paraId="4A6AA54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0ABFB42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法人代表：                </w:t>
      </w:r>
    </w:p>
    <w:p w14:paraId="44AD131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2CB0BDD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为顺利完成</w:t>
      </w:r>
      <w:r>
        <w:rPr>
          <w:rFonts w:hint="eastAsia" w:ascii="仿宋_GB2312" w:hAnsi="仿宋_GB2312" w:eastAsia="仿宋_GB2312" w:cs="仿宋_GB2312"/>
          <w:sz w:val="32"/>
          <w:szCs w:val="32"/>
          <w:lang w:val="en-US" w:eastAsia="zh-CN"/>
        </w:rPr>
        <w:t>我市</w:t>
      </w: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26</w:t>
      </w:r>
      <w:r>
        <w:rPr>
          <w:rFonts w:hint="default" w:ascii="仿宋_GB2312" w:hAnsi="仿宋_GB2312" w:eastAsia="仿宋_GB2312" w:cs="仿宋_GB2312"/>
          <w:sz w:val="32"/>
          <w:szCs w:val="32"/>
          <w:lang w:val="en-US" w:eastAsia="zh-CN"/>
        </w:rPr>
        <w:t xml:space="preserve">年中央财政（）—粮油轮作任务，甲乙双方现就甲方委托乙方实施轮作休耕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亩签订以下协议，由双方共同遵守执行：</w:t>
      </w:r>
    </w:p>
    <w:p w14:paraId="0155C45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一、轮作面积与地块。乙方自愿参加轮作休耕，将位于</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 xml:space="preserve">               的       亩耕地</w:t>
      </w:r>
      <w:r>
        <w:rPr>
          <w:rFonts w:hint="eastAsia" w:ascii="仿宋_GB2312" w:hAnsi="仿宋_GB2312" w:eastAsia="仿宋_GB2312" w:cs="仿宋_GB2312"/>
          <w:sz w:val="32"/>
          <w:szCs w:val="32"/>
          <w:lang w:val="en-US" w:eastAsia="zh-CN"/>
        </w:rPr>
        <w:t>开展</w:t>
      </w:r>
      <w:r>
        <w:rPr>
          <w:rFonts w:hint="default" w:ascii="仿宋_GB2312" w:hAnsi="仿宋_GB2312" w:eastAsia="仿宋_GB2312" w:cs="仿宋_GB2312"/>
          <w:sz w:val="32"/>
          <w:szCs w:val="32"/>
          <w:lang w:val="en-US" w:eastAsia="zh-CN"/>
        </w:rPr>
        <w:t>轮作休耕</w:t>
      </w:r>
      <w:r>
        <w:rPr>
          <w:rFonts w:hint="eastAsia" w:ascii="仿宋_GB2312" w:hAnsi="仿宋_GB2312" w:eastAsia="仿宋_GB2312" w:cs="仿宋_GB2312"/>
          <w:sz w:val="32"/>
          <w:szCs w:val="32"/>
          <w:lang w:val="en-US" w:eastAsia="zh-CN"/>
        </w:rPr>
        <w:t>项目</w:t>
      </w:r>
      <w:r>
        <w:rPr>
          <w:rFonts w:hint="default" w:ascii="仿宋_GB2312" w:hAnsi="仿宋_GB2312" w:eastAsia="仿宋_GB2312" w:cs="仿宋_GB2312"/>
          <w:sz w:val="32"/>
          <w:szCs w:val="32"/>
          <w:lang w:val="en-US" w:eastAsia="zh-CN"/>
        </w:rPr>
        <w:t>。</w:t>
      </w:r>
    </w:p>
    <w:p w14:paraId="005FE89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二、轮作期限。轮作时间为    年   月至    年   月。</w:t>
      </w:r>
    </w:p>
    <w:p w14:paraId="7461391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三、轮作技术要求。乙方必须按甲方技术要求组织实施，接受服从甲方的监管、技术指导，接受甲方与上级部门的验收检查。轮作地块可以实施稻稻油、</w:t>
      </w:r>
      <w:r>
        <w:rPr>
          <w:rFonts w:hint="eastAsia" w:ascii="仿宋_GB2312" w:hAnsi="仿宋_GB2312" w:eastAsia="仿宋_GB2312" w:cs="仿宋_GB2312"/>
          <w:sz w:val="32"/>
          <w:szCs w:val="32"/>
          <w:lang w:val="en-US" w:eastAsia="zh-CN"/>
        </w:rPr>
        <w:t>稻稻肥、稻稻菜</w:t>
      </w:r>
      <w:r>
        <w:rPr>
          <w:rFonts w:hint="default" w:ascii="仿宋_GB2312" w:hAnsi="仿宋_GB2312" w:eastAsia="仿宋_GB2312" w:cs="仿宋_GB2312"/>
          <w:sz w:val="32"/>
          <w:szCs w:val="32"/>
          <w:lang w:val="en-US" w:eastAsia="zh-CN"/>
        </w:rPr>
        <w:t>（该“油”指花生等油料作物</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val="en-US" w:eastAsia="zh-CN"/>
        </w:rPr>
        <w:t>肥</w:t>
      </w:r>
      <w:r>
        <w:rPr>
          <w:rFonts w:hint="default" w:ascii="仿宋_GB2312" w:hAnsi="仿宋_GB2312" w:eastAsia="仿宋_GB2312" w:cs="仿宋_GB2312"/>
          <w:sz w:val="32"/>
          <w:szCs w:val="32"/>
          <w:lang w:val="en-US" w:eastAsia="zh-CN"/>
        </w:rPr>
        <w:t>”指</w:t>
      </w:r>
      <w:r>
        <w:rPr>
          <w:rFonts w:hint="eastAsia" w:ascii="仿宋_GB2312" w:hAnsi="仿宋_GB2312" w:eastAsia="仿宋_GB2312" w:cs="仿宋_GB2312"/>
          <w:sz w:val="32"/>
          <w:szCs w:val="32"/>
          <w:lang w:val="en-US" w:eastAsia="zh-CN"/>
        </w:rPr>
        <w:t>紫云英</w:t>
      </w:r>
      <w:r>
        <w:rPr>
          <w:rFonts w:hint="default"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val="en-US" w:eastAsia="zh-CN"/>
        </w:rPr>
        <w:t>绿肥</w:t>
      </w:r>
      <w:r>
        <w:rPr>
          <w:rFonts w:hint="default" w:ascii="仿宋_GB2312" w:hAnsi="仿宋_GB2312" w:eastAsia="仿宋_GB2312" w:cs="仿宋_GB2312"/>
          <w:sz w:val="32"/>
          <w:szCs w:val="32"/>
          <w:lang w:val="en-US" w:eastAsia="zh-CN"/>
        </w:rPr>
        <w:t>作物</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val="en-US" w:eastAsia="zh-CN"/>
        </w:rPr>
        <w:t>菜</w:t>
      </w:r>
      <w:r>
        <w:rPr>
          <w:rFonts w:hint="default" w:ascii="仿宋_GB2312" w:hAnsi="仿宋_GB2312" w:eastAsia="仿宋_GB2312" w:cs="仿宋_GB2312"/>
          <w:sz w:val="32"/>
          <w:szCs w:val="32"/>
          <w:lang w:val="en-US" w:eastAsia="zh-CN"/>
        </w:rPr>
        <w:t>”指</w:t>
      </w:r>
      <w:r>
        <w:rPr>
          <w:rFonts w:hint="eastAsia" w:ascii="仿宋_GB2312" w:hAnsi="仿宋_GB2312" w:eastAsia="仿宋_GB2312" w:cs="仿宋_GB2312"/>
          <w:sz w:val="32"/>
          <w:szCs w:val="32"/>
          <w:lang w:val="en-US" w:eastAsia="zh-CN"/>
        </w:rPr>
        <w:t>玉米等作物</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等轮作模式</w:t>
      </w:r>
      <w:r>
        <w:rPr>
          <w:rFonts w:hint="default" w:ascii="仿宋_GB2312" w:hAnsi="仿宋_GB2312" w:eastAsia="仿宋_GB2312" w:cs="仿宋_GB2312"/>
          <w:sz w:val="32"/>
          <w:szCs w:val="32"/>
          <w:lang w:val="en-US" w:eastAsia="zh-CN"/>
        </w:rPr>
        <w:t>。</w:t>
      </w:r>
    </w:p>
    <w:p w14:paraId="4230631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四、补助内容和方式。乙方完成轮作休耕任务后，甲方给予乙方一次性补助（补助标准按全区年度实际完成面积测算，每亩不超过150元）。补助方式为：银行转账。</w:t>
      </w:r>
    </w:p>
    <w:p w14:paraId="501C8EC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五、技术指导与检查验收。甲方负责对乙方提供轮作休耕技术指导服务，在轮作周期结束前组织检查验收。乙方不按甲方技术要求实施的，违反轮作休耕规定要求的，视为违反本协议约定，不能享受相关补助。</w:t>
      </w:r>
    </w:p>
    <w:p w14:paraId="0F0B62F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六、冬种轮作作物完成种植后，乙方凭实施完成的证明材料即可向甲方申请检查验收。</w:t>
      </w:r>
    </w:p>
    <w:p w14:paraId="725458D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七、本协议自甲乙双方签字或盖章之日起生效。轮作期间因国家政策发生重大变化或调整导致不能执行本协议的，本协议自然终止或解除。</w:t>
      </w:r>
    </w:p>
    <w:p w14:paraId="3BE6EC7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八、本协议一式</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份，甲方、乙方各执</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份。未尽事宜，甲乙双方协商解决。</w:t>
      </w:r>
    </w:p>
    <w:p w14:paraId="2773C57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 </w:t>
      </w:r>
    </w:p>
    <w:p w14:paraId="6C8DDE1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 </w:t>
      </w:r>
    </w:p>
    <w:p w14:paraId="72F0225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甲方：（盖章）                    乙方：（盖章）   </w:t>
      </w:r>
    </w:p>
    <w:p w14:paraId="441AC6B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 </w:t>
      </w:r>
    </w:p>
    <w:p w14:paraId="589DFDE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 </w:t>
      </w:r>
    </w:p>
    <w:p w14:paraId="66FFBE4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甲方代表签名：                   乙方代表签名：</w:t>
      </w:r>
    </w:p>
    <w:p w14:paraId="75039E8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690C7F6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日期：                           日期：</w:t>
      </w:r>
    </w:p>
    <w:p w14:paraId="5F1057F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p>
    <w:p w14:paraId="2A43C63C">
      <w:pPr>
        <w:sectPr>
          <w:footerReference r:id="rId3" w:type="default"/>
          <w:pgSz w:w="11906" w:h="16838"/>
          <w:pgMar w:top="1440" w:right="1800" w:bottom="1440" w:left="1800" w:header="851" w:footer="992" w:gutter="0"/>
          <w:pgNumType w:fmt="numberInDash"/>
          <w:cols w:space="720" w:num="1"/>
          <w:docGrid w:type="lines" w:linePitch="312" w:charSpace="0"/>
        </w:sectPr>
      </w:pPr>
    </w:p>
    <w:p w14:paraId="703048CA">
      <w:pPr>
        <w:pStyle w:val="3"/>
        <w:ind w:left="0" w:leftChars="0" w:firstLine="0" w:firstLineChars="0"/>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rPr>
        <w:t>附件</w:t>
      </w:r>
      <w:r>
        <w:rPr>
          <w:rFonts w:hint="eastAsia" w:ascii="仿宋_GB2312" w:hAnsi="仿宋_GB2312" w:eastAsia="仿宋_GB2312" w:cs="仿宋_GB2312"/>
          <w:b/>
          <w:bCs/>
          <w:kern w:val="0"/>
          <w:sz w:val="32"/>
          <w:szCs w:val="32"/>
          <w:lang w:val="en-US" w:eastAsia="zh-CN"/>
        </w:rPr>
        <w:t>3</w:t>
      </w:r>
    </w:p>
    <w:p w14:paraId="5CD3B6F4">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CESI小标宋-GB2312" w:hAnsi="CESI小标宋-GB2312" w:eastAsia="CESI小标宋-GB2312" w:cs="CESI小标宋-GB2312"/>
          <w:sz w:val="28"/>
          <w:szCs w:val="28"/>
          <w:lang w:val="en-US" w:eastAsia="zh-CN"/>
        </w:rPr>
      </w:pPr>
      <w:r>
        <w:rPr>
          <w:rFonts w:hint="eastAsia" w:ascii="CESI小标宋-GB2312" w:hAnsi="CESI小标宋-GB2312" w:eastAsia="CESI小标宋-GB2312" w:cs="CESI小标宋-GB2312"/>
          <w:sz w:val="28"/>
          <w:szCs w:val="28"/>
          <w:lang w:val="en-US" w:eastAsia="zh-CN"/>
        </w:rPr>
        <w:t>吴川市2026年轮作休耕项目申报表（模板）</w:t>
      </w:r>
    </w:p>
    <w:tbl>
      <w:tblPr>
        <w:tblStyle w:val="4"/>
        <w:tblW w:w="824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733"/>
        <w:gridCol w:w="1671"/>
        <w:gridCol w:w="85"/>
        <w:gridCol w:w="2652"/>
        <w:gridCol w:w="1345"/>
      </w:tblGrid>
      <w:tr w14:paraId="2A9C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240" w:type="dxa"/>
            <w:gridSpan w:val="6"/>
            <w:tcBorders>
              <w:tl2br w:val="nil"/>
              <w:tr2bl w:val="nil"/>
            </w:tcBorders>
            <w:noWrap/>
            <w:vAlign w:val="center"/>
          </w:tcPr>
          <w:p w14:paraId="7D27B3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CESI仿宋-GB2312" w:hAnsi="CESI仿宋-GB2312" w:eastAsia="CESI仿宋-GB2312" w:cs="CESI仿宋-GB2312"/>
                <w:sz w:val="24"/>
                <w:szCs w:val="24"/>
                <w:lang w:val="en-US" w:eastAsia="zh-CN"/>
              </w:rPr>
            </w:pPr>
            <w:r>
              <w:rPr>
                <w:rFonts w:hint="eastAsia" w:ascii="CESI黑体-GB2312" w:hAnsi="CESI黑体-GB2312" w:eastAsia="CESI黑体-GB2312" w:cs="CESI黑体-GB2312"/>
                <w:sz w:val="24"/>
                <w:szCs w:val="24"/>
                <w:lang w:val="en-US" w:eastAsia="zh-CN"/>
              </w:rPr>
              <w:t>一、主体基本信息</w:t>
            </w:r>
          </w:p>
        </w:tc>
      </w:tr>
      <w:tr w14:paraId="0B40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4158" w:type="dxa"/>
            <w:gridSpan w:val="3"/>
            <w:tcBorders>
              <w:tl2br w:val="nil"/>
              <w:tr2bl w:val="nil"/>
            </w:tcBorders>
            <w:noWrap/>
            <w:vAlign w:val="center"/>
          </w:tcPr>
          <w:p w14:paraId="4A31C7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主体名称：</w:t>
            </w:r>
            <w:r>
              <w:rPr>
                <w:rFonts w:hint="eastAsia" w:ascii="CESI楷体-GB2312" w:hAnsi="CESI楷体-GB2312" w:eastAsia="CESI楷体-GB2312" w:cs="CESI楷体-GB2312"/>
                <w:sz w:val="24"/>
                <w:szCs w:val="24"/>
                <w:lang w:val="en-US" w:eastAsia="zh-CN"/>
              </w:rPr>
              <w:t>（单位盖章或按指模）</w:t>
            </w:r>
          </w:p>
        </w:tc>
        <w:tc>
          <w:tcPr>
            <w:tcW w:w="4082" w:type="dxa"/>
            <w:gridSpan w:val="3"/>
            <w:tcBorders>
              <w:tl2br w:val="nil"/>
              <w:tr2bl w:val="nil"/>
            </w:tcBorders>
            <w:noWrap/>
            <w:vAlign w:val="center"/>
          </w:tcPr>
          <w:p w14:paraId="4B7735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CESI仿宋-GB2312" w:hAnsi="CESI仿宋-GB2312" w:eastAsia="CESI仿宋-GB2312" w:cs="CESI仿宋-GB2312"/>
                <w:color w:val="auto"/>
                <w:kern w:val="2"/>
                <w:sz w:val="24"/>
                <w:szCs w:val="24"/>
                <w:lang w:val="en-US" w:eastAsia="zh-CN" w:bidi="ar-SA"/>
              </w:rPr>
            </w:pPr>
            <w:r>
              <w:rPr>
                <w:rFonts w:hint="eastAsia" w:ascii="CESI仿宋-GB2312" w:hAnsi="CESI仿宋-GB2312" w:eastAsia="CESI仿宋-GB2312" w:cs="CESI仿宋-GB2312"/>
                <w:sz w:val="24"/>
                <w:szCs w:val="24"/>
                <w:lang w:val="en-US" w:eastAsia="zh-CN"/>
              </w:rPr>
              <w:t>主体类型：</w:t>
            </w:r>
          </w:p>
        </w:tc>
      </w:tr>
      <w:tr w14:paraId="7997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4158" w:type="dxa"/>
            <w:gridSpan w:val="3"/>
            <w:tcBorders>
              <w:tl2br w:val="nil"/>
              <w:tr2bl w:val="nil"/>
            </w:tcBorders>
            <w:noWrap/>
            <w:vAlign w:val="center"/>
          </w:tcPr>
          <w:p w14:paraId="520964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负责人：</w:t>
            </w:r>
          </w:p>
        </w:tc>
        <w:tc>
          <w:tcPr>
            <w:tcW w:w="4082" w:type="dxa"/>
            <w:gridSpan w:val="3"/>
            <w:tcBorders>
              <w:tl2br w:val="nil"/>
              <w:tr2bl w:val="nil"/>
            </w:tcBorders>
            <w:noWrap/>
            <w:vAlign w:val="center"/>
          </w:tcPr>
          <w:p w14:paraId="657928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联系电话：</w:t>
            </w:r>
          </w:p>
        </w:tc>
      </w:tr>
      <w:tr w14:paraId="3706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240" w:type="dxa"/>
            <w:gridSpan w:val="6"/>
            <w:tcBorders>
              <w:tl2br w:val="nil"/>
              <w:tr2bl w:val="nil"/>
            </w:tcBorders>
            <w:noWrap w:val="0"/>
            <w:vAlign w:val="center"/>
          </w:tcPr>
          <w:p w14:paraId="103741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统一社会信用代码/身份证号：</w:t>
            </w:r>
          </w:p>
        </w:tc>
      </w:tr>
      <w:tr w14:paraId="56DE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240" w:type="dxa"/>
            <w:gridSpan w:val="6"/>
            <w:tcBorders>
              <w:tl2br w:val="nil"/>
              <w:tr2bl w:val="nil"/>
            </w:tcBorders>
            <w:noWrap/>
            <w:vAlign w:val="center"/>
          </w:tcPr>
          <w:p w14:paraId="561869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CESI仿宋-GB2312" w:hAnsi="CESI仿宋-GB2312" w:eastAsia="CESI仿宋-GB2312" w:cs="CESI仿宋-GB2312"/>
                <w:sz w:val="24"/>
                <w:szCs w:val="24"/>
                <w:lang w:val="en-US" w:eastAsia="zh-CN"/>
              </w:rPr>
            </w:pPr>
            <w:r>
              <w:rPr>
                <w:rFonts w:hint="eastAsia" w:ascii="CESI黑体-GB2312" w:hAnsi="CESI黑体-GB2312" w:eastAsia="CESI黑体-GB2312" w:cs="CESI黑体-GB2312"/>
                <w:sz w:val="24"/>
                <w:szCs w:val="24"/>
                <w:lang w:val="en-US" w:eastAsia="zh-CN"/>
              </w:rPr>
              <w:t>二、轮作面积与方式</w:t>
            </w:r>
          </w:p>
        </w:tc>
      </w:tr>
      <w:tr w14:paraId="4B47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754" w:type="dxa"/>
            <w:tcBorders>
              <w:tl2br w:val="nil"/>
              <w:tr2bl w:val="nil"/>
            </w:tcBorders>
            <w:noWrap/>
            <w:vAlign w:val="center"/>
          </w:tcPr>
          <w:p w14:paraId="157A9C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序号</w:t>
            </w:r>
          </w:p>
        </w:tc>
        <w:tc>
          <w:tcPr>
            <w:tcW w:w="3489" w:type="dxa"/>
            <w:gridSpan w:val="3"/>
            <w:tcBorders>
              <w:right w:val="single" w:color="auto" w:sz="4" w:space="0"/>
              <w:tl2br w:val="nil"/>
              <w:tr2bl w:val="nil"/>
            </w:tcBorders>
            <w:noWrap/>
            <w:vAlign w:val="center"/>
          </w:tcPr>
          <w:p w14:paraId="63752A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地址</w:t>
            </w:r>
          </w:p>
        </w:tc>
        <w:tc>
          <w:tcPr>
            <w:tcW w:w="2652" w:type="dxa"/>
            <w:tcBorders>
              <w:top w:val="single" w:color="auto" w:sz="4" w:space="0"/>
              <w:left w:val="single" w:color="auto" w:sz="4" w:space="0"/>
              <w:bottom w:val="single" w:color="auto" w:sz="4" w:space="0"/>
              <w:right w:val="single" w:color="auto" w:sz="4" w:space="0"/>
              <w:tl2br w:val="nil"/>
              <w:tr2bl w:val="nil"/>
            </w:tcBorders>
            <w:noWrap/>
            <w:vAlign w:val="center"/>
          </w:tcPr>
          <w:p w14:paraId="7B3E4C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轮作</w:t>
            </w:r>
            <w:r>
              <w:rPr>
                <w:rFonts w:hint="default" w:ascii="CESI仿宋-GB2312" w:hAnsi="CESI仿宋-GB2312" w:eastAsia="CESI仿宋-GB2312" w:cs="CESI仿宋-GB2312"/>
                <w:sz w:val="24"/>
                <w:szCs w:val="24"/>
                <w:lang w:val="en-US" w:eastAsia="zh-CN"/>
              </w:rPr>
              <w:t>面积（亩）</w:t>
            </w:r>
          </w:p>
          <w:p w14:paraId="43B089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品种</w:t>
            </w:r>
          </w:p>
        </w:tc>
        <w:tc>
          <w:tcPr>
            <w:tcW w:w="1345" w:type="dxa"/>
            <w:tcBorders>
              <w:left w:val="single" w:color="auto" w:sz="4" w:space="0"/>
              <w:tl2br w:val="nil"/>
              <w:tr2bl w:val="nil"/>
            </w:tcBorders>
            <w:noWrap/>
            <w:vAlign w:val="center"/>
          </w:tcPr>
          <w:p w14:paraId="0FF72F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轮作方式</w:t>
            </w:r>
          </w:p>
        </w:tc>
      </w:tr>
      <w:tr w14:paraId="1452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54" w:type="dxa"/>
            <w:tcBorders>
              <w:tl2br w:val="nil"/>
              <w:tr2bl w:val="nil"/>
            </w:tcBorders>
            <w:noWrap/>
            <w:vAlign w:val="center"/>
          </w:tcPr>
          <w:p w14:paraId="64E0F5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1</w:t>
            </w:r>
          </w:p>
        </w:tc>
        <w:tc>
          <w:tcPr>
            <w:tcW w:w="3489" w:type="dxa"/>
            <w:gridSpan w:val="3"/>
            <w:tcBorders>
              <w:tl2br w:val="nil"/>
              <w:tr2bl w:val="nil"/>
            </w:tcBorders>
            <w:noWrap/>
            <w:vAlign w:val="center"/>
          </w:tcPr>
          <w:p w14:paraId="489819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xx县xx镇xx村xx小组</w:t>
            </w:r>
          </w:p>
        </w:tc>
        <w:tc>
          <w:tcPr>
            <w:tcW w:w="2652" w:type="dxa"/>
            <w:tcBorders>
              <w:top w:val="single" w:color="auto" w:sz="4" w:space="0"/>
              <w:tl2br w:val="nil"/>
              <w:tr2bl w:val="nil"/>
            </w:tcBorders>
            <w:noWrap/>
            <w:vAlign w:val="center"/>
          </w:tcPr>
          <w:p w14:paraId="47580D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p>
        </w:tc>
        <w:tc>
          <w:tcPr>
            <w:tcW w:w="1345" w:type="dxa"/>
            <w:tcBorders>
              <w:tl2br w:val="nil"/>
              <w:tr2bl w:val="nil"/>
            </w:tcBorders>
            <w:noWrap/>
            <w:vAlign w:val="center"/>
          </w:tcPr>
          <w:p w14:paraId="666522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p>
        </w:tc>
      </w:tr>
      <w:tr w14:paraId="35FA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54" w:type="dxa"/>
            <w:tcBorders>
              <w:tl2br w:val="nil"/>
              <w:tr2bl w:val="nil"/>
            </w:tcBorders>
            <w:noWrap/>
            <w:vAlign w:val="center"/>
          </w:tcPr>
          <w:p w14:paraId="1F9296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2</w:t>
            </w:r>
          </w:p>
        </w:tc>
        <w:tc>
          <w:tcPr>
            <w:tcW w:w="3489" w:type="dxa"/>
            <w:gridSpan w:val="3"/>
            <w:tcBorders>
              <w:tl2br w:val="nil"/>
              <w:tr2bl w:val="nil"/>
            </w:tcBorders>
            <w:noWrap/>
            <w:vAlign w:val="center"/>
          </w:tcPr>
          <w:p w14:paraId="5EB85D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p>
        </w:tc>
        <w:tc>
          <w:tcPr>
            <w:tcW w:w="2652" w:type="dxa"/>
            <w:tcBorders>
              <w:tl2br w:val="nil"/>
              <w:tr2bl w:val="nil"/>
            </w:tcBorders>
            <w:noWrap/>
            <w:vAlign w:val="center"/>
          </w:tcPr>
          <w:p w14:paraId="1F6A48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p>
        </w:tc>
        <w:tc>
          <w:tcPr>
            <w:tcW w:w="1345" w:type="dxa"/>
            <w:tcBorders>
              <w:tl2br w:val="nil"/>
              <w:tr2bl w:val="nil"/>
            </w:tcBorders>
            <w:noWrap/>
            <w:vAlign w:val="center"/>
          </w:tcPr>
          <w:p w14:paraId="0C0B1F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CESI仿宋-GB2312" w:hAnsi="CESI仿宋-GB2312" w:eastAsia="CESI仿宋-GB2312" w:cs="CESI仿宋-GB2312"/>
                <w:sz w:val="24"/>
                <w:szCs w:val="24"/>
                <w:lang w:val="en-US" w:eastAsia="zh-CN"/>
              </w:rPr>
            </w:pPr>
          </w:p>
        </w:tc>
      </w:tr>
      <w:tr w14:paraId="3CD4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240" w:type="dxa"/>
            <w:gridSpan w:val="6"/>
            <w:tcBorders>
              <w:tl2br w:val="nil"/>
              <w:tr2bl w:val="nil"/>
            </w:tcBorders>
            <w:noWrap/>
            <w:vAlign w:val="center"/>
          </w:tcPr>
          <w:p w14:paraId="2AE4A2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CESI仿宋-GB2312" w:hAnsi="CESI仿宋-GB2312" w:eastAsia="CESI仿宋-GB2312" w:cs="CESI仿宋-GB2312"/>
                <w:sz w:val="24"/>
                <w:szCs w:val="24"/>
                <w:lang w:val="en-US" w:eastAsia="zh-CN"/>
              </w:rPr>
            </w:pPr>
            <w:r>
              <w:rPr>
                <w:rFonts w:hint="eastAsia" w:ascii="CESI黑体-GB2312" w:hAnsi="CESI黑体-GB2312" w:eastAsia="CESI黑体-GB2312" w:cs="CESI黑体-GB2312"/>
                <w:sz w:val="24"/>
                <w:szCs w:val="24"/>
                <w:lang w:val="en-US" w:eastAsia="zh-CN"/>
              </w:rPr>
              <w:t>三、收款信息</w:t>
            </w:r>
          </w:p>
        </w:tc>
      </w:tr>
      <w:tr w14:paraId="434E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exact"/>
        </w:trPr>
        <w:tc>
          <w:tcPr>
            <w:tcW w:w="754" w:type="dxa"/>
            <w:tcBorders>
              <w:tl2br w:val="nil"/>
              <w:tr2bl w:val="nil"/>
            </w:tcBorders>
            <w:noWrap/>
            <w:vAlign w:val="center"/>
          </w:tcPr>
          <w:p w14:paraId="3ADA8F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CESI仿宋-GB2312" w:hAnsi="CESI仿宋-GB2312" w:eastAsia="CESI仿宋-GB2312" w:cs="CESI仿宋-GB2312"/>
                <w:sz w:val="24"/>
                <w:szCs w:val="24"/>
                <w:lang w:val="en-US" w:eastAsia="zh-CN"/>
              </w:rPr>
            </w:pPr>
            <w:r>
              <w:rPr>
                <w:rFonts w:hint="eastAsia" w:ascii="仿宋_GB2312" w:hAnsi="仿宋_GB2312" w:eastAsia="仿宋_GB2312" w:cs="仿宋_GB2312"/>
                <w:color w:val="000000"/>
                <w:kern w:val="0"/>
                <w:sz w:val="24"/>
              </w:rPr>
              <w:t>户名</w:t>
            </w:r>
          </w:p>
          <w:p w14:paraId="3764E8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CESI仿宋-GB2312" w:hAnsi="CESI仿宋-GB2312" w:eastAsia="CESI仿宋-GB2312" w:cs="CESI仿宋-GB2312"/>
                <w:sz w:val="24"/>
                <w:szCs w:val="24"/>
                <w:lang w:val="en-US" w:eastAsia="zh-CN"/>
              </w:rPr>
            </w:pPr>
          </w:p>
        </w:tc>
        <w:tc>
          <w:tcPr>
            <w:tcW w:w="1733" w:type="dxa"/>
            <w:tcBorders>
              <w:tl2br w:val="nil"/>
              <w:tr2bl w:val="nil"/>
            </w:tcBorders>
            <w:noWrap/>
            <w:vAlign w:val="center"/>
          </w:tcPr>
          <w:p w14:paraId="34F427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CESI仿宋-GB2312" w:hAnsi="CESI仿宋-GB2312" w:eastAsia="仿宋_GB2312" w:cs="CESI仿宋-GB2312"/>
                <w:sz w:val="24"/>
                <w:szCs w:val="24"/>
                <w:lang w:val="en-US" w:eastAsia="zh-CN"/>
              </w:rPr>
            </w:pPr>
            <w:r>
              <w:rPr>
                <w:rFonts w:hint="eastAsia" w:ascii="仿宋_GB2312" w:hAnsi="仿宋_GB2312" w:eastAsia="仿宋_GB2312" w:cs="仿宋_GB2312"/>
                <w:color w:val="000000"/>
                <w:kern w:val="0"/>
                <w:sz w:val="24"/>
                <w:lang w:val="en-US" w:eastAsia="zh-CN"/>
              </w:rPr>
              <w:t>分行信息及</w:t>
            </w:r>
            <w:r>
              <w:rPr>
                <w:rFonts w:hint="eastAsia" w:ascii="仿宋_GB2312" w:hAnsi="仿宋_GB2312" w:eastAsia="仿宋_GB2312" w:cs="仿宋_GB2312"/>
                <w:color w:val="000000"/>
                <w:kern w:val="0"/>
                <w:sz w:val="24"/>
              </w:rPr>
              <w:t>开户行</w:t>
            </w:r>
            <w:r>
              <w:rPr>
                <w:rFonts w:hint="eastAsia" w:ascii="仿宋_GB2312" w:hAnsi="仿宋_GB2312" w:eastAsia="仿宋_GB2312" w:cs="仿宋_GB2312"/>
                <w:color w:val="000000"/>
                <w:kern w:val="0"/>
                <w:sz w:val="24"/>
                <w:lang w:val="en-US" w:eastAsia="zh-CN"/>
              </w:rPr>
              <w:t>行号</w:t>
            </w:r>
          </w:p>
        </w:tc>
        <w:tc>
          <w:tcPr>
            <w:tcW w:w="5753" w:type="dxa"/>
            <w:gridSpan w:val="4"/>
            <w:tcBorders>
              <w:tl2br w:val="nil"/>
              <w:tr2bl w:val="nil"/>
            </w:tcBorders>
            <w:noWrap/>
            <w:vAlign w:val="center"/>
          </w:tcPr>
          <w:p w14:paraId="24CCFA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CESI仿宋-GB2312" w:hAnsi="CESI仿宋-GB2312" w:eastAsia="CESI仿宋-GB2312" w:cs="CESI仿宋-GB2312"/>
                <w:sz w:val="24"/>
                <w:szCs w:val="24"/>
                <w:lang w:val="en-US" w:eastAsia="zh-CN"/>
              </w:rPr>
            </w:pPr>
            <w:r>
              <w:rPr>
                <w:rFonts w:hint="eastAsia" w:ascii="仿宋_GB2312" w:hAnsi="仿宋_GB2312" w:eastAsia="仿宋_GB2312" w:cs="仿宋_GB2312"/>
                <w:color w:val="000000"/>
                <w:kern w:val="0"/>
                <w:sz w:val="24"/>
                <w:lang w:val="en-US" w:eastAsia="zh-CN"/>
              </w:rPr>
              <w:t>公户（或个人社保卡）号码</w:t>
            </w:r>
          </w:p>
        </w:tc>
      </w:tr>
      <w:tr w14:paraId="0462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240" w:type="dxa"/>
            <w:gridSpan w:val="6"/>
            <w:tcBorders>
              <w:tl2br w:val="nil"/>
              <w:tr2bl w:val="nil"/>
            </w:tcBorders>
            <w:noWrap/>
            <w:vAlign w:val="center"/>
          </w:tcPr>
          <w:p w14:paraId="38A961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CESI仿宋-GB2312" w:hAnsi="CESI仿宋-GB2312" w:eastAsia="CESI仿宋-GB2312" w:cs="CESI仿宋-GB2312"/>
                <w:sz w:val="24"/>
                <w:szCs w:val="24"/>
                <w:lang w:val="en-US" w:eastAsia="zh-CN"/>
              </w:rPr>
            </w:pPr>
            <w:r>
              <w:rPr>
                <w:rFonts w:hint="eastAsia" w:ascii="CESI黑体-GB2312" w:hAnsi="CESI黑体-GB2312" w:eastAsia="CESI黑体-GB2312" w:cs="CESI黑体-GB2312"/>
                <w:sz w:val="24"/>
                <w:szCs w:val="24"/>
                <w:lang w:val="en-US" w:eastAsia="zh-CN"/>
              </w:rPr>
              <w:t>四、主体承诺</w:t>
            </w:r>
          </w:p>
        </w:tc>
      </w:tr>
      <w:tr w14:paraId="4F21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trPr>
        <w:tc>
          <w:tcPr>
            <w:tcW w:w="8240" w:type="dxa"/>
            <w:gridSpan w:val="6"/>
            <w:tcBorders>
              <w:tl2br w:val="nil"/>
              <w:tr2bl w:val="nil"/>
            </w:tcBorders>
            <w:noWrap w:val="0"/>
            <w:vAlign w:val="center"/>
          </w:tcPr>
          <w:p w14:paraId="5241666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本人（单位）郑重承诺：1.本项目申报材料真实有效，无重复申领补贴、虚增面积行为；2.严格落实轮作要求，并接受各级部门巡查；3.中途弃管、改种其他不符合要求作物的，自愿放弃项目补贴申请。</w:t>
            </w:r>
          </w:p>
          <w:p w14:paraId="3074CF0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p>
          <w:p w14:paraId="2C2B6BDF">
            <w:pPr>
              <w:keepNext w:val="0"/>
              <w:keepLines w:val="0"/>
              <w:pageBreakBefore w:val="0"/>
              <w:widowControl w:val="0"/>
              <w:kinsoku/>
              <w:wordWrap/>
              <w:overflowPunct/>
              <w:topLinePunct w:val="0"/>
              <w:autoSpaceDE/>
              <w:autoSpaceDN/>
              <w:bidi w:val="0"/>
              <w:adjustRightInd w:val="0"/>
              <w:snapToGrid w:val="0"/>
              <w:spacing w:line="240" w:lineRule="auto"/>
              <w:ind w:firstLine="4320" w:firstLineChars="180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负责人签字：</w:t>
            </w:r>
            <w:r>
              <w:rPr>
                <w:rFonts w:hint="eastAsia" w:ascii="CESI楷体-GB2312" w:hAnsi="CESI楷体-GB2312" w:eastAsia="CESI楷体-GB2312" w:cs="CESI楷体-GB2312"/>
                <w:sz w:val="24"/>
                <w:szCs w:val="24"/>
                <w:lang w:val="en-US" w:eastAsia="zh-CN"/>
              </w:rPr>
              <w:t>（单位盖章或按指模）</w:t>
            </w:r>
          </w:p>
          <w:p w14:paraId="3F970DEF">
            <w:pPr>
              <w:keepNext w:val="0"/>
              <w:keepLines w:val="0"/>
              <w:pageBreakBefore w:val="0"/>
              <w:widowControl w:val="0"/>
              <w:kinsoku/>
              <w:wordWrap/>
              <w:overflowPunct/>
              <w:topLinePunct w:val="0"/>
              <w:autoSpaceDE/>
              <w:autoSpaceDN/>
              <w:bidi w:val="0"/>
              <w:adjustRightInd w:val="0"/>
              <w:snapToGrid w:val="0"/>
              <w:spacing w:line="240" w:lineRule="auto"/>
              <w:ind w:firstLine="4320" w:firstLineChars="180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申报日期：   年  月  日</w:t>
            </w:r>
          </w:p>
        </w:tc>
      </w:tr>
      <w:tr w14:paraId="16E7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240" w:type="dxa"/>
            <w:gridSpan w:val="6"/>
            <w:tcBorders>
              <w:tl2br w:val="nil"/>
              <w:tr2bl w:val="nil"/>
            </w:tcBorders>
            <w:noWrap w:val="0"/>
            <w:vAlign w:val="center"/>
          </w:tcPr>
          <w:p w14:paraId="56FAD01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黑体-GB2312" w:hAnsi="CESI黑体-GB2312" w:eastAsia="CESI黑体-GB2312" w:cs="CESI黑体-GB2312"/>
                <w:sz w:val="24"/>
                <w:szCs w:val="24"/>
                <w:lang w:val="en-US" w:eastAsia="zh-CN"/>
              </w:rPr>
              <w:t>五、审批意见</w:t>
            </w:r>
          </w:p>
        </w:tc>
      </w:tr>
      <w:tr w14:paraId="5316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9" w:hRule="atLeast"/>
        </w:trPr>
        <w:tc>
          <w:tcPr>
            <w:tcW w:w="4243" w:type="dxa"/>
            <w:gridSpan w:val="4"/>
            <w:tcBorders>
              <w:tl2br w:val="nil"/>
              <w:tr2bl w:val="nil"/>
            </w:tcBorders>
            <w:noWrap w:val="0"/>
            <w:vAlign w:val="center"/>
          </w:tcPr>
          <w:p w14:paraId="7116E82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村委会初审意见：</w:t>
            </w:r>
          </w:p>
          <w:p w14:paraId="5E3DD1D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sym w:font="Wingdings 2" w:char="00A3"/>
            </w:r>
            <w:r>
              <w:rPr>
                <w:rFonts w:hint="eastAsia" w:ascii="CESI仿宋-GB2312" w:hAnsi="CESI仿宋-GB2312" w:eastAsia="CESI仿宋-GB2312" w:cs="CESI仿宋-GB2312"/>
                <w:sz w:val="24"/>
                <w:szCs w:val="24"/>
                <w:lang w:val="en-US" w:eastAsia="zh-CN"/>
              </w:rPr>
              <w:t>审核通过</w:t>
            </w:r>
          </w:p>
          <w:p w14:paraId="27BCF89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□审核不通过</w:t>
            </w:r>
          </w:p>
          <w:p w14:paraId="3ED3459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 xml:space="preserve">              </w:t>
            </w:r>
          </w:p>
          <w:p w14:paraId="216338C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p>
          <w:p w14:paraId="070E7CCC">
            <w:pPr>
              <w:keepNext w:val="0"/>
              <w:keepLines w:val="0"/>
              <w:pageBreakBefore w:val="0"/>
              <w:widowControl w:val="0"/>
              <w:kinsoku/>
              <w:wordWrap/>
              <w:overflowPunct/>
              <w:topLinePunct w:val="0"/>
              <w:autoSpaceDE/>
              <w:autoSpaceDN/>
              <w:bidi w:val="0"/>
              <w:adjustRightInd w:val="0"/>
              <w:snapToGrid w:val="0"/>
              <w:spacing w:line="240" w:lineRule="auto"/>
              <w:ind w:firstLine="1680" w:firstLineChars="70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 xml:space="preserve">       盖章</w:t>
            </w:r>
          </w:p>
          <w:p w14:paraId="7F5A2ADE">
            <w:pPr>
              <w:keepNext w:val="0"/>
              <w:keepLines w:val="0"/>
              <w:pageBreakBefore w:val="0"/>
              <w:widowControl w:val="0"/>
              <w:kinsoku/>
              <w:wordWrap/>
              <w:overflowPunct/>
              <w:topLinePunct w:val="0"/>
              <w:autoSpaceDE/>
              <w:autoSpaceDN/>
              <w:bidi w:val="0"/>
              <w:adjustRightInd w:val="0"/>
              <w:snapToGrid w:val="0"/>
              <w:spacing w:line="240" w:lineRule="auto"/>
              <w:ind w:firstLine="1680" w:firstLineChars="70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日期：  年  月  日</w:t>
            </w:r>
          </w:p>
          <w:p w14:paraId="2F5F8690">
            <w:pPr>
              <w:keepNext w:val="0"/>
              <w:keepLines w:val="0"/>
              <w:pageBreakBefore w:val="0"/>
              <w:widowControl w:val="0"/>
              <w:kinsoku/>
              <w:wordWrap/>
              <w:overflowPunct/>
              <w:topLinePunct w:val="0"/>
              <w:autoSpaceDE/>
              <w:autoSpaceDN/>
              <w:bidi w:val="0"/>
              <w:adjustRightInd w:val="0"/>
              <w:snapToGrid w:val="0"/>
              <w:spacing w:line="240" w:lineRule="auto"/>
              <w:ind w:firstLine="1680" w:firstLineChars="700"/>
              <w:jc w:val="both"/>
              <w:textAlignment w:val="auto"/>
              <w:rPr>
                <w:rFonts w:hint="eastAsia" w:ascii="CESI仿宋-GB2312" w:hAnsi="CESI仿宋-GB2312" w:eastAsia="CESI仿宋-GB2312" w:cs="CESI仿宋-GB2312"/>
                <w:sz w:val="24"/>
                <w:szCs w:val="24"/>
                <w:lang w:val="en-US" w:eastAsia="zh-CN"/>
              </w:rPr>
            </w:pPr>
          </w:p>
          <w:p w14:paraId="66C7A36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仿宋_GB2312" w:hAnsi="仿宋_GB2312" w:eastAsia="仿宋_GB2312" w:cs="仿宋_GB2312"/>
                <w:color w:val="000000"/>
                <w:kern w:val="0"/>
                <w:sz w:val="24"/>
              </w:rPr>
              <w:t>经办人签名：        负责人签名：</w:t>
            </w:r>
          </w:p>
        </w:tc>
        <w:tc>
          <w:tcPr>
            <w:tcW w:w="3997" w:type="dxa"/>
            <w:gridSpan w:val="2"/>
            <w:tcBorders>
              <w:tl2br w:val="nil"/>
              <w:tr2bl w:val="nil"/>
            </w:tcBorders>
            <w:noWrap w:val="0"/>
            <w:vAlign w:val="center"/>
          </w:tcPr>
          <w:p w14:paraId="5ECA13A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乡镇（街道）审核意见：</w:t>
            </w:r>
          </w:p>
          <w:p w14:paraId="1A9E991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□审核通过</w:t>
            </w:r>
          </w:p>
          <w:p w14:paraId="7562607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□审核不通过</w:t>
            </w:r>
          </w:p>
          <w:p w14:paraId="57F5D76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 xml:space="preserve">             </w:t>
            </w:r>
          </w:p>
          <w:p w14:paraId="1020850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p>
          <w:p w14:paraId="074F0106">
            <w:pPr>
              <w:keepNext w:val="0"/>
              <w:keepLines w:val="0"/>
              <w:pageBreakBefore w:val="0"/>
              <w:widowControl w:val="0"/>
              <w:kinsoku/>
              <w:wordWrap/>
              <w:overflowPunct/>
              <w:topLinePunct w:val="0"/>
              <w:autoSpaceDE/>
              <w:autoSpaceDN/>
              <w:bidi w:val="0"/>
              <w:adjustRightInd w:val="0"/>
              <w:snapToGrid w:val="0"/>
              <w:spacing w:line="240" w:lineRule="auto"/>
              <w:ind w:firstLine="1680" w:firstLineChars="70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 xml:space="preserve">        盖章</w:t>
            </w:r>
          </w:p>
          <w:p w14:paraId="699F92DC">
            <w:pPr>
              <w:keepNext w:val="0"/>
              <w:keepLines w:val="0"/>
              <w:pageBreakBefore w:val="0"/>
              <w:widowControl w:val="0"/>
              <w:kinsoku/>
              <w:wordWrap/>
              <w:overflowPunct/>
              <w:topLinePunct w:val="0"/>
              <w:autoSpaceDE/>
              <w:autoSpaceDN/>
              <w:bidi w:val="0"/>
              <w:adjustRightInd w:val="0"/>
              <w:snapToGrid w:val="0"/>
              <w:spacing w:line="240" w:lineRule="auto"/>
              <w:ind w:firstLine="1680" w:firstLineChars="700"/>
              <w:jc w:val="both"/>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日期：  年  月  日</w:t>
            </w:r>
          </w:p>
          <w:p w14:paraId="420F1B5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kern w:val="0"/>
                <w:sz w:val="24"/>
              </w:rPr>
            </w:pPr>
          </w:p>
          <w:p w14:paraId="41DB95C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ESI仿宋-GB2312" w:hAnsi="CESI仿宋-GB2312" w:eastAsia="CESI仿宋-GB2312" w:cs="CESI仿宋-GB2312"/>
                <w:sz w:val="24"/>
                <w:szCs w:val="24"/>
                <w:lang w:val="en-US" w:eastAsia="zh-CN"/>
              </w:rPr>
            </w:pPr>
            <w:r>
              <w:rPr>
                <w:rFonts w:hint="eastAsia" w:ascii="仿宋_GB2312" w:hAnsi="仿宋_GB2312" w:eastAsia="仿宋_GB2312" w:cs="仿宋_GB2312"/>
                <w:color w:val="000000"/>
                <w:kern w:val="0"/>
                <w:sz w:val="24"/>
              </w:rPr>
              <w:t>经办人签名：        负责人签名：</w:t>
            </w:r>
          </w:p>
        </w:tc>
      </w:tr>
    </w:tbl>
    <w:p w14:paraId="59A0C14B">
      <w:pPr>
        <w:ind w:right="420"/>
        <w:jc w:val="both"/>
        <w:rPr>
          <w:rFonts w:hint="default" w:ascii="宋体" w:hAnsi="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CESI小标宋-GB2312">
    <w:altName w:val="宋体"/>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3B36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C59B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CC59B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340CD7"/>
    <w:multiLevelType w:val="singleLevel"/>
    <w:tmpl w:val="CE340C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xZGI2NTE2N2Q4MzU1ZDdmMjAxNWIyNDk3YjUyN2UifQ=="/>
  </w:docVars>
  <w:rsids>
    <w:rsidRoot w:val="340E0B18"/>
    <w:rsid w:val="00B62B85"/>
    <w:rsid w:val="060B7A81"/>
    <w:rsid w:val="14167262"/>
    <w:rsid w:val="19B33992"/>
    <w:rsid w:val="1F153D28"/>
    <w:rsid w:val="21D76868"/>
    <w:rsid w:val="2A260CE3"/>
    <w:rsid w:val="2CA90075"/>
    <w:rsid w:val="326119B9"/>
    <w:rsid w:val="340E0B18"/>
    <w:rsid w:val="342D046C"/>
    <w:rsid w:val="343F69C4"/>
    <w:rsid w:val="352B75DB"/>
    <w:rsid w:val="35C45BA4"/>
    <w:rsid w:val="35EB373D"/>
    <w:rsid w:val="3649799F"/>
    <w:rsid w:val="3EFB4E8C"/>
    <w:rsid w:val="43165EA5"/>
    <w:rsid w:val="462D40DA"/>
    <w:rsid w:val="4A8D1D4A"/>
    <w:rsid w:val="51033699"/>
    <w:rsid w:val="514E6B0F"/>
    <w:rsid w:val="588B5C22"/>
    <w:rsid w:val="5FF3784F"/>
    <w:rsid w:val="61C44881"/>
    <w:rsid w:val="6B4B130C"/>
    <w:rsid w:val="720B3EE6"/>
    <w:rsid w:val="73883972"/>
    <w:rsid w:val="7CE41DED"/>
    <w:rsid w:val="7F772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toc 2"/>
    <w:basedOn w:val="1"/>
    <w:next w:val="1"/>
    <w:qFormat/>
    <w:uiPriority w:val="0"/>
    <w:pPr>
      <w:widowControl w:val="0"/>
      <w:ind w:left="420" w:leftChars="200"/>
    </w:pPr>
    <w:rPr>
      <w:rFonts w:eastAsia="宋体" w:cs="Calibri"/>
      <w:kern w:val="2"/>
      <w:sz w:val="21"/>
      <w:szCs w:val="21"/>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3205</Words>
  <Characters>3300</Characters>
  <Lines>0</Lines>
  <Paragraphs>0</Paragraphs>
  <TotalTime>0</TotalTime>
  <ScaleCrop>false</ScaleCrop>
  <LinksUpToDate>false</LinksUpToDate>
  <CharactersWithSpaces>3578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2024-01-22T02:57:00Z</dcterms:created>
  <dc:creator>欧阿怪</dc:creator>
  <cp:lastModifiedBy>chain</cp:lastModifiedBy>
  <cp:lastPrinted>2025-03-24T08:54:00Z</cp:lastPrinted>
  <dcterms:modified xsi:type="dcterms:W3CDTF">2026-09-01T01:33:48Z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22D084D634A74F6B8F5D8078F42C97F3_13</vt:lpwstr>
  </property>
  <property fmtid="{D5CDD505-2E9C-101B-9397-08002B2CF9AE}" pid="4" name="KSOTemplateDocerSaveRecord">
    <vt:lpwstr>eyJoZGlkIjoiYmY2OTdmYWYzMDM0N2FiMTZmODgwMzdkMmViOGNhY2QiLCJ1c2VySWQiOiI1NjE1MTk1NjIifQ==</vt:lpwstr>
  </property>
</Properties>
</file>