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宋体" w:hAnsi="宋体" w:eastAsia="宋体" w:cs="宋体"/>
          <w:b/>
          <w:bCs/>
          <w:color w:val="000000"/>
          <w:kern w:val="36"/>
          <w:sz w:val="48"/>
          <w:szCs w:val="48"/>
        </w:rPr>
      </w:pPr>
      <w:r>
        <w:rPr>
          <w:rFonts w:ascii="宋体" w:hAnsi="宋体" w:eastAsia="宋体" w:cs="宋体"/>
          <w:b/>
          <w:bCs/>
          <w:color w:val="000000"/>
          <w:kern w:val="36"/>
          <w:sz w:val="48"/>
          <w:szCs w:val="48"/>
        </w:rPr>
        <w:t>商务部、市场监管总局令2019年第2号 外商投资信息报告办法</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中华人民共和国商务部   令</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国家市场监督管理总局      </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二〇一九年   第2号</w:t>
      </w:r>
    </w:p>
    <w:p>
      <w:pPr>
        <w:pStyle w:val="2"/>
        <w:shd w:val="clear" w:color="auto" w:fill="FFFFFF"/>
        <w:adjustRightInd w:val="0"/>
        <w:snapToGrid w:val="0"/>
        <w:spacing w:before="0" w:beforeAutospacing="0" w:after="0" w:afterAutospacing="0" w:line="560" w:lineRule="exac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p>
    <w:p>
      <w:pPr>
        <w:pStyle w:val="2"/>
        <w:shd w:val="clear" w:color="auto" w:fill="FFFFFF"/>
        <w:adjustRightInd w:val="0"/>
        <w:snapToGrid w:val="0"/>
        <w:spacing w:before="0" w:beforeAutospacing="0" w:after="0" w:afterAutospacing="0" w:line="560" w:lineRule="exact"/>
        <w:ind w:firstLine="645"/>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《外商投资信息报告办法》已经2019年12月19日商务部第20次部务会议审议通过，并经国家市场监督管理总局同意，现予公布，自2020年1月1日起施行。</w:t>
      </w:r>
    </w:p>
    <w:p>
      <w:pPr>
        <w:pStyle w:val="2"/>
        <w:shd w:val="clear" w:color="auto" w:fill="FFFFFF"/>
        <w:adjustRightInd w:val="0"/>
        <w:snapToGrid w:val="0"/>
        <w:spacing w:before="0" w:beforeAutospacing="0" w:after="0" w:afterAutospacing="0" w:line="560" w:lineRule="exact"/>
        <w:ind w:firstLine="645"/>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部  长  钟 山</w:t>
      </w:r>
    </w:p>
    <w:p>
      <w:pPr>
        <w:pStyle w:val="2"/>
        <w:shd w:val="clear" w:color="auto" w:fill="FFFFFF"/>
        <w:adjustRightInd w:val="0"/>
        <w:snapToGrid w:val="0"/>
        <w:spacing w:before="0" w:beforeAutospacing="0" w:after="0" w:afterAutospacing="0" w:line="560" w:lineRule="exact"/>
        <w:ind w:firstLine="64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局  长  肖亚庆</w:t>
      </w:r>
    </w:p>
    <w:p>
      <w:pPr>
        <w:pStyle w:val="2"/>
        <w:shd w:val="clear" w:color="auto" w:fill="FFFFFF"/>
        <w:adjustRightInd w:val="0"/>
        <w:snapToGrid w:val="0"/>
        <w:spacing w:before="0" w:beforeAutospacing="0" w:after="0" w:afterAutospacing="0" w:line="560" w:lineRule="exact"/>
        <w:ind w:firstLine="64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 2019年12月30日</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t>外商投资信息报告办法</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第一章 总则</w:t>
      </w:r>
    </w:p>
    <w:p>
      <w:pPr>
        <w:pStyle w:val="2"/>
        <w:shd w:val="clear" w:color="auto" w:fill="FFFFFF"/>
        <w:adjustRightInd w:val="0"/>
        <w:snapToGrid w:val="0"/>
        <w:spacing w:before="0" w:beforeAutospacing="0" w:after="0" w:afterAutospacing="0" w:line="560" w:lineRule="exac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第一条　为进一步扩大对外开放，提升外商投资促进、保护和管理水平，完善外商投资政策措施，改善营商环境，根据《中华人民共和国外商投资法》及《中华人民共和国外商投资法实施条例》，制定本办法。</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第二条 外国投资者直接或者间接在中国境内进行投资活动，应由外国投资者或者外商投资企业根据本办法向商务主管部门报送投资信息。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第三条 商务部负责统筹和指导全国范围内外商投资信息报告工作。</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县级以上地方人民政府商务主管部门以及自由贸易试验区、国家级经济技术开发区的相关机构负责本区域内外商投资信息报告工作。</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第四条 外国投资者或者外商投资企业应当通过企业登记系统以及国家企业信用信息公示系统向商务主管部门报送投资信息。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市场监管部门应当及时将外国投资者、外商投资企业报送的上述投资信息推送至商务主管部门。</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商务部建立外商投资信息报告系统，及时接收、处理市场监管部门推送的投资信息以及部门共享信息等。</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第五条　市场监管总局统筹指导全国企业登记系统、国家企业信用信息公示系统建设，保障外商投资信息报告的实施。</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第六条　各级商务主管部门和市场监管部门应当做好工作衔接。商务主管部门应当为外国投资者和外商投资企业报送投资信息提供专门指导。</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第七条 外国投资者或者外商投资企业应当及时报送投资信息，遵循真实、准确、完整原则，不得进行虚假或误导性报告，不得有重大遗漏。</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第二章 报告主体、内容与方式</w:t>
      </w:r>
    </w:p>
    <w:p>
      <w:pPr>
        <w:pStyle w:val="2"/>
        <w:shd w:val="clear" w:color="auto" w:fill="FFFFFF"/>
        <w:adjustRightInd w:val="0"/>
        <w:snapToGrid w:val="0"/>
        <w:spacing w:before="0" w:beforeAutospacing="0" w:after="0" w:afterAutospacing="0" w:line="560" w:lineRule="exact"/>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第八条　外国投资者或者外商投资企业应当按照本办法规定通过提交初始报告、变更报告、注销报告、年度报告等方式报送投资信息。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第九条 外国投资者在中国境内设立外商投资企业，应于办理外商投资企业设立登记时通过企业登记系统提交初始报告。</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外国投资者股权并购境内非外商投资企业，应在办理被并购企业变更登记时通过企业登记系统提交初始报告。</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第十条 外国投资者提交初始报告，应当报送企业基本信息、投资者及其实际控制人信息、投资交易信息等信息。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第十一条 初始报告的信息发生变更，涉及企业变更登记（备案）的，外商投资企业应于办理企业变更登记（备案）时通过企业登记系统提交变更报告。</w:t>
      </w:r>
    </w:p>
    <w:p>
      <w:pPr>
        <w:pStyle w:val="2"/>
        <w:shd w:val="clear" w:color="auto" w:fill="FFFFFF"/>
        <w:adjustRightInd w:val="0"/>
        <w:snapToGrid w:val="0"/>
        <w:spacing w:before="0" w:beforeAutospacing="0" w:after="0" w:afterAutospacing="0" w:line="560" w:lineRule="exact"/>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不涉及企业变更登记（备案）的，外商投资企业应于变更事项发生后20个工作日内通过企业登记系统提交变更报告。企业根据章程对变更事项作出决议的，以作出决议的时间为变更事项的发生时间；法律法规对变更事项的生效条件另有要求的，以满足相应要求的时间为变更事项的发生时间。</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外商投资的上市公司及在全国中小企业股份转让系统挂牌的公司，可仅在外国投资者持股比例变化累计超过5%或者引起外方控股、相对控股地位发生变化时，报告投资者及其所持股份变更信息。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第十二条 外商投资企业提交变更报告，应当报送企业基本信息、投资者及其实际控制人信息、投资交易信息等信息的变更情况。</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第十三条　外商投资企业注销或者转为内资企业的，在办理企业注销登记或者企业变更登记后视同已提交注销报告，相关信息由市场监管部门推送至商务主管部门，外商投资企业无需另行报送。</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第十四条 外商投资企业应于每年1月1日至6月30日通过国家企业信用信息公示系统提交上一年度的年度报告。</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当年设立的外商投资企业，自下一年起报送年度报告。</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第十五条 外商投资企业提交年度报告，应当报送企业基本信息、投资者及其实际控制人信息、企业经营和资产负债等信息，涉及外商投资准入特别管理措施的，还应当报送获得相关行业许可信息。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第十六条　初始报告、变更报告和年度报告等的具体内容，按照确有必要原则，结合外商投资实际情况和企业登记注册、企业信息公示的有关规定确定，由商务部以公告形式对外发布。</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第三章 信息共享、公示与更正</w:t>
      </w:r>
    </w:p>
    <w:p>
      <w:pPr>
        <w:pStyle w:val="2"/>
        <w:shd w:val="clear" w:color="auto" w:fill="FFFFFF"/>
        <w:adjustRightInd w:val="0"/>
        <w:snapToGrid w:val="0"/>
        <w:spacing w:before="0" w:beforeAutospacing="0" w:after="0" w:afterAutospacing="0" w:line="560" w:lineRule="exact"/>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第十七条 商务主管部门与有关部门应当根据信息报告工作需要建立外商投资信息共享机制。</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除法律、行政法规另有规定外，有关部门在履行职责过程中获取的外商投资信息，应当及时与商务主管部门共享。</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第十八条 外国投资者或者外商投资企业报送的投资信息，根据《企业信息公示暂行条例》应当向社会公示或者外国投资者、外商投资企业同意公示的，将通过国家企业信用信息公示系统及外商投资信息报告系统向社会公示。</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第十九条 外国投资者或者外商投资企业发现其存在未报、错报、漏报有关投资信息的，应当及时进行补报或更正。外商投资企业对《企业信息公示暂行条例》第九条所列年度报告公示信息的补报或者更正应当符合该条例有关规定。</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商务主管部门发现外国投资者或者外商投资企业存在未报、错报、漏报的，应当通知外国投资者或者外商投资企业于20个工作日内进行补报或更正。</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更正涉及公示事项的，更正前后的信息应当同时公示。</w:t>
      </w:r>
    </w:p>
    <w:p>
      <w:pPr>
        <w:pStyle w:val="2"/>
        <w:shd w:val="clear" w:color="auto" w:fill="FFFFFF"/>
        <w:adjustRightInd w:val="0"/>
        <w:snapToGrid w:val="0"/>
        <w:spacing w:before="0" w:beforeAutospacing="0" w:after="0" w:afterAutospacing="0" w:line="560" w:lineRule="exact"/>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第四章 监督管理</w:t>
      </w:r>
    </w:p>
    <w:p>
      <w:pPr>
        <w:pStyle w:val="2"/>
        <w:shd w:val="clear" w:color="auto" w:fill="FFFFFF"/>
        <w:adjustRightInd w:val="0"/>
        <w:snapToGrid w:val="0"/>
        <w:spacing w:before="0" w:beforeAutospacing="0" w:after="0" w:afterAutospacing="0" w:line="560" w:lineRule="exact"/>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第二十条　商务主管部门对外国投资者、外商投资企业遵守本办法情况实施监督检查。</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商务主管部门可联合有关部门，采取抽查、根据举报进行检查、根据有关部门或司法机关的建议和反映的情况进行检查，以及依职权启动检查等方式开展监督检查。</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第二十一条 商务主管部门采取抽查方式对外国投资者、外商投资企业履行信息报告义务的情况实施监督检查，应当随机抽取检查对象、随机选派执法检查人员，抽查事项及查处结果及时通过外商投资信息报告系统公示平台予以公示。</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公民、法人或其他组织发现外国投资者或者外商投资企业存在违反本办法的行为的，可向商务主管部门举报。举报采取书面形式，有明确的被举报人，并提供相关事实和证据的，商务主管部门接到举报后应当依法及时处理。</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其他有关部门或司法机关在履行职责的过程中，发现外国投资者或者外商投资企业有违反本办法的行为的，可向商务主管部门提出监督检查的建议，商务主管部门接到相关建议后应当依法及时处理。</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对于未按本办法的规定进行报告，或曾有报告不实、对监督检查不予配合、拒不履行商务主管部门作出的行政处罚决定记录的外国投资者或者外商投资企业，商务主管部门可依职权对其启动检查。</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第二十二条 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第二十三条 商务主管部门实施监督检查不得妨碍被检查人正常的生产经营活动，不得接受被检查人提供的财物或者服务，不得谋取其他非法利益。</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第二十四条 商务主管部门、市场监管部门应当依法保护履行职责过程中知悉的外国投资者、外商投资企业的商业秘密。</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第五章 法律责任</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第二十五条 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（一）外国投资者或者外商投资企业故意逃避履行信息报告义务，或在进行信息报告时隐瞒真实情况、提供误导性或虚假信息；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（二）外国投资者或者外商投资企业就所属行业、是否涉及外商投资准入特别管理措施、企业投资者及其实际控制人等重要信息报送错误；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（三）外国投资者或者外商投资企业未按照本办法要求报送投资信息，并因此受到行政处罚的，两年内再次违反本办法有关要求；</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（四）商务主管部门认定的其他严重情形。</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第二十六条 商务主管部门在监督检查中掌握的外国投资者、外商投资企业未依法履行信息报告义务的有关情况，应当记入外商投资信息报告系统，并按照国家关于信用体系建设的有关规定完善信用监管。</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外国投资者、外商投资企业因违反信息报告义务受到商务主管部门行政处罚的，商务主管部门可将相关情况在外商投资信息报告系统公示平台上予以公示，并按照国家有关规定纳入信用信息系统。</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商务主管部门可与市场监管、外汇、海关、税务等有关部门共享外国投资者、外商投资企业履行信息报告义务以及受到相应行政处罚的有关情况。</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第二十七条 外国投资者或者外商投资企业认为外商投资信息报告系统公示平台上有关信息记录不完整或者有错误的，可提供相关证明材料并向商务主管部门申请修正。经核查属实的，予以修正。</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外国投资者或者外商投资企业改正违法行为、履行相关义务后1年内未再发生违反信息报告义务行为的，可向商务主管部门申请移除外商投资信息报告系统公示平台上有关信息记录。经核查属实的，予以移除。</w:t>
      </w:r>
    </w:p>
    <w:p>
      <w:pPr>
        <w:pStyle w:val="2"/>
        <w:shd w:val="clear" w:color="auto" w:fill="FFFFFF"/>
        <w:adjustRightInd w:val="0"/>
        <w:snapToGrid w:val="0"/>
        <w:spacing w:before="0" w:beforeAutospacing="0" w:after="0" w:afterAutospacing="0" w:line="560" w:lineRule="exact"/>
        <w:jc w:val="center"/>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第六章 附则</w:t>
      </w:r>
    </w:p>
    <w:p>
      <w:pPr>
        <w:pStyle w:val="2"/>
        <w:shd w:val="clear" w:color="auto" w:fill="FFFFFF"/>
        <w:adjustRightInd w:val="0"/>
        <w:snapToGrid w:val="0"/>
        <w:spacing w:before="0" w:beforeAutospacing="0" w:after="0" w:afterAutospacing="0" w:line="560" w:lineRule="exact"/>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第二十八条 外商投资企业在中国境内投资（含多层次投资）设立企业的，在向市场监管部门办理登记备案、报送年报信息后，相关信息由市场监管部门推送至商务主管部门，上述企业无需另行报送。</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第二十九条 外商投资举办的投资性公司、创业投资企业和以投资为主要业务的合伙企业在境内投资设立企业的，应当参照本办法第二章的规定报送投资信息。</w:t>
      </w:r>
      <w:bookmarkStart w:id="0" w:name="_GoBack"/>
      <w:bookmarkEnd w:id="0"/>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第三十条　非企业形式的外商投资，应由外国投资者参照本办法第二章的规定报送投资信息，但通过部门信息共享可以获得相关信息的除外。</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第三十一条　法律、行政法规规定企业设立、变更、注销登记前须行业主管部门许可的，外国投资者或者外商投资企业应当在申请登记注册时向市场监管部门提交有关批准文件。</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第三十二条　外国投资者在中国境内投资银行业、证券业、保险业等金融行业，适用本办法。</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第三十三条 香港特别行政区、澳门特别行政区、台湾地区投资者以及定居在国外的中国公民的投资，参照本办法报送投资信息。</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第三十四条 本办法由商务部、市场监管总局负责解释。</w:t>
      </w:r>
    </w:p>
    <w:p>
      <w:pPr>
        <w:pStyle w:val="2"/>
        <w:shd w:val="clear" w:color="auto" w:fill="FFFFFF"/>
        <w:adjustRightInd w:val="0"/>
        <w:snapToGrid w:val="0"/>
        <w:spacing w:before="0" w:beforeAutospacing="0" w:after="0" w:afterAutospacing="0" w:line="560" w:lineRule="exact"/>
        <w:ind w:firstLine="645"/>
        <w:jc w:val="both"/>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第三十五条 本办法自2020年1月1日起实施。《外商投资企业设立及变更备案管理暂行办法》同时废止。</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D6"/>
    <w:rsid w:val="006B2AD6"/>
    <w:rsid w:val="00702B5C"/>
    <w:rsid w:val="007F189D"/>
    <w:rsid w:val="00AC2659"/>
    <w:rsid w:val="6812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625</Words>
  <Characters>3564</Characters>
  <Lines>29</Lines>
  <Paragraphs>8</Paragraphs>
  <TotalTime>20</TotalTime>
  <ScaleCrop>false</ScaleCrop>
  <LinksUpToDate>false</LinksUpToDate>
  <CharactersWithSpaces>4181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2020-01-02T00:54:00Z</dcterms:created>
  <dc:creator>黄万红</dc:creator>
  <cp:lastModifiedBy>淡忘</cp:lastModifiedBy>
  <dcterms:modified xsi:type="dcterms:W3CDTF">2020-01-02T01:47:41Z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