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2645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p>
    <w:p w14:paraId="099975C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吴川</w:t>
      </w:r>
      <w:bookmarkStart w:id="0" w:name="_GoBack"/>
      <w:bookmarkEnd w:id="0"/>
      <w:r>
        <w:rPr>
          <w:rFonts w:hint="eastAsia" w:ascii="方正小标宋简体" w:hAnsi="方正小标宋简体" w:eastAsia="方正小标宋简体" w:cs="方正小标宋简体"/>
          <w:sz w:val="44"/>
          <w:szCs w:val="44"/>
        </w:rPr>
        <w:t>市科工贸和信息化局202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w:t>
      </w:r>
    </w:p>
    <w:p w14:paraId="69AEDA7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公开工作年度报告</w:t>
      </w:r>
    </w:p>
    <w:p w14:paraId="1BF539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14:paraId="5B024E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根据《中华人民共和国政府信息公开条例》（国令第711号</w:t>
      </w:r>
      <w:r>
        <w:rPr>
          <w:rFonts w:hint="eastAsia" w:ascii="仿宋_GB2312" w:hAnsi="仿宋_GB2312" w:cs="仿宋_GB2312"/>
          <w:i w:val="0"/>
          <w:caps w:val="0"/>
          <w:color w:val="000000"/>
          <w:spacing w:val="0"/>
          <w:kern w:val="0"/>
          <w:sz w:val="32"/>
          <w:szCs w:val="32"/>
          <w:shd w:val="clear" w:fill="FFFFFF"/>
          <w:lang w:val="en-US" w:eastAsia="zh-CN" w:bidi="ar"/>
        </w:rPr>
        <w:t>）</w:t>
      </w:r>
      <w:r>
        <w:rPr>
          <w:rFonts w:hint="eastAsia" w:ascii="仿宋_GB2312" w:hAnsi="仿宋_GB2312" w:eastAsia="仿宋_GB2312" w:cs="仿宋_GB2312"/>
          <w:i w:val="0"/>
          <w:caps w:val="0"/>
          <w:color w:val="000000"/>
          <w:spacing w:val="0"/>
          <w:kern w:val="0"/>
          <w:sz w:val="32"/>
          <w:szCs w:val="32"/>
          <w:shd w:val="clear" w:fill="FFFFFF"/>
          <w:lang w:val="en-US" w:eastAsia="zh-CN" w:bidi="ar"/>
        </w:rPr>
        <w:t>（以下简称《条例》）、《国务院办公厅政府信息与政务公开办公室关于政府信息公开工作年度报告有关事项的通知》（国办公开办函〔2019〕60号）及市委市政府的要求，现公布吴川市科工贸和信息化局20</w:t>
      </w:r>
      <w:r>
        <w:rPr>
          <w:rFonts w:hint="eastAsia" w:ascii="仿宋_GB2312" w:hAnsi="仿宋_GB2312" w:cs="仿宋_GB2312"/>
          <w:i w:val="0"/>
          <w:caps w:val="0"/>
          <w:color w:val="000000"/>
          <w:spacing w:val="0"/>
          <w:kern w:val="0"/>
          <w:sz w:val="32"/>
          <w:szCs w:val="32"/>
          <w:shd w:val="clear" w:fill="FFFFFF"/>
          <w:lang w:val="en-US" w:eastAsia="zh-CN" w:bidi="ar"/>
        </w:rPr>
        <w:t>25</w:t>
      </w:r>
      <w:r>
        <w:rPr>
          <w:rFonts w:hint="eastAsia" w:ascii="仿宋_GB2312" w:hAnsi="仿宋_GB2312" w:eastAsia="仿宋_GB2312" w:cs="仿宋_GB2312"/>
          <w:i w:val="0"/>
          <w:caps w:val="0"/>
          <w:color w:val="000000"/>
          <w:spacing w:val="0"/>
          <w:kern w:val="0"/>
          <w:sz w:val="32"/>
          <w:szCs w:val="32"/>
          <w:shd w:val="clear" w:fill="FFFFFF"/>
          <w:lang w:val="en-US" w:eastAsia="zh-CN" w:bidi="ar"/>
        </w:rPr>
        <w:t>年政府信息公开工作年度报告。报告包括202</w:t>
      </w:r>
      <w:r>
        <w:rPr>
          <w:rFonts w:hint="eastAsia" w:ascii="仿宋_GB2312" w:hAnsi="仿宋_GB2312" w:cs="仿宋_GB2312"/>
          <w:i w:val="0"/>
          <w:caps w:val="0"/>
          <w:color w:val="000000"/>
          <w:spacing w:val="0"/>
          <w:kern w:val="0"/>
          <w:sz w:val="32"/>
          <w:szCs w:val="32"/>
          <w:shd w:val="clear" w:fill="FFFFFF"/>
          <w:lang w:val="en-US" w:eastAsia="zh-CN" w:bidi="ar"/>
        </w:rPr>
        <w:t>5</w:t>
      </w:r>
      <w:r>
        <w:rPr>
          <w:rFonts w:hint="eastAsia" w:ascii="仿宋_GB2312" w:hAnsi="仿宋_GB2312" w:eastAsia="仿宋_GB2312" w:cs="仿宋_GB2312"/>
          <w:i w:val="0"/>
          <w:caps w:val="0"/>
          <w:color w:val="000000"/>
          <w:spacing w:val="0"/>
          <w:kern w:val="0"/>
          <w:sz w:val="32"/>
          <w:szCs w:val="32"/>
          <w:shd w:val="clear" w:fill="FFFFFF"/>
          <w:lang w:val="en-US" w:eastAsia="zh-CN" w:bidi="ar"/>
        </w:rPr>
        <w:t>年1月1日至202</w:t>
      </w:r>
      <w:r>
        <w:rPr>
          <w:rFonts w:hint="eastAsia" w:ascii="仿宋_GB2312" w:hAnsi="仿宋_GB2312" w:cs="仿宋_GB2312"/>
          <w:i w:val="0"/>
          <w:caps w:val="0"/>
          <w:color w:val="000000"/>
          <w:spacing w:val="0"/>
          <w:kern w:val="0"/>
          <w:sz w:val="32"/>
          <w:szCs w:val="32"/>
          <w:shd w:val="clear" w:fill="FFFFFF"/>
          <w:lang w:val="en-US" w:eastAsia="zh-CN" w:bidi="ar"/>
        </w:rPr>
        <w:t>5</w:t>
      </w:r>
      <w:r>
        <w:rPr>
          <w:rFonts w:hint="eastAsia" w:ascii="仿宋_GB2312" w:hAnsi="仿宋_GB2312" w:eastAsia="仿宋_GB2312" w:cs="仿宋_GB2312"/>
          <w:i w:val="0"/>
          <w:caps w:val="0"/>
          <w:color w:val="000000"/>
          <w:spacing w:val="0"/>
          <w:kern w:val="0"/>
          <w:sz w:val="32"/>
          <w:szCs w:val="32"/>
          <w:shd w:val="clear" w:fill="FFFFFF"/>
          <w:lang w:val="en-US" w:eastAsia="zh-CN" w:bidi="ar"/>
        </w:rPr>
        <w:t>年12月31日政府信息公开工作总体情况、主动公开、依申请公开、政府信息公开行政复议和行政诉讼、存在问题及改进措施等内容。本报告主要通过吴川市人民政府门户网站（https://www.gdwc.gov.cn/）公布，如对本报告有疑问，请与局办公室联系（地址：吴川市解放中路148号，邮编：524500，电话：</w:t>
      </w:r>
      <w:r>
        <w:rPr>
          <w:rFonts w:hint="eastAsia" w:ascii="仿宋_GB2312" w:hAnsi="仿宋_GB2312" w:cs="仿宋_GB2312"/>
          <w:i w:val="0"/>
          <w:caps w:val="0"/>
          <w:color w:val="000000"/>
          <w:spacing w:val="0"/>
          <w:kern w:val="0"/>
          <w:sz w:val="32"/>
          <w:szCs w:val="32"/>
          <w:shd w:val="clear" w:fill="FFFFFF"/>
          <w:lang w:val="en-US" w:eastAsia="zh-CN" w:bidi="ar"/>
        </w:rPr>
        <w:t>0759-5581988</w:t>
      </w:r>
      <w:r>
        <w:rPr>
          <w:rFonts w:hint="eastAsia" w:ascii="仿宋_GB2312" w:hAnsi="仿宋_GB2312" w:eastAsia="仿宋_GB2312" w:cs="仿宋_GB2312"/>
          <w:i w:val="0"/>
          <w:caps w:val="0"/>
          <w:color w:val="000000"/>
          <w:spacing w:val="0"/>
          <w:kern w:val="0"/>
          <w:sz w:val="32"/>
          <w:szCs w:val="32"/>
          <w:shd w:val="clear" w:fill="FFFFFF"/>
          <w:lang w:val="en-US" w:eastAsia="zh-CN" w:bidi="ar"/>
        </w:rPr>
        <w:t>）。</w:t>
      </w:r>
    </w:p>
    <w:p w14:paraId="6158AF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黑体" w:hAnsi="黑体" w:eastAsia="黑体" w:cs="黑体"/>
          <w:i w:val="0"/>
          <w:caps w:val="0"/>
          <w:color w:val="424242"/>
          <w:spacing w:val="0"/>
          <w:sz w:val="32"/>
          <w:szCs w:val="32"/>
        </w:rPr>
      </w:pPr>
      <w:r>
        <w:rPr>
          <w:rFonts w:hint="eastAsia" w:ascii="黑体" w:hAnsi="黑体" w:eastAsia="黑体" w:cs="黑体"/>
          <w:b/>
          <w:i w:val="0"/>
          <w:caps w:val="0"/>
          <w:color w:val="000000"/>
          <w:spacing w:val="0"/>
          <w:kern w:val="0"/>
          <w:sz w:val="28"/>
          <w:szCs w:val="28"/>
          <w:shd w:val="clear" w:fill="FFFFFF"/>
          <w:lang w:val="en-US" w:eastAsia="zh-CN" w:bidi="ar"/>
        </w:rPr>
        <w:t>一、</w:t>
      </w:r>
      <w:r>
        <w:rPr>
          <w:rFonts w:hint="eastAsia" w:ascii="黑体" w:hAnsi="黑体" w:eastAsia="黑体" w:cs="黑体"/>
          <w:b w:val="0"/>
          <w:i w:val="0"/>
          <w:caps w:val="0"/>
          <w:color w:val="000000"/>
          <w:spacing w:val="0"/>
          <w:sz w:val="32"/>
          <w:szCs w:val="32"/>
          <w:shd w:val="clear" w:fill="FFFFFF"/>
        </w:rPr>
        <w:t>总体情况</w:t>
      </w:r>
    </w:p>
    <w:p w14:paraId="6BA4ED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cs="仿宋_GB2312"/>
          <w:i w:val="0"/>
          <w:caps w:val="0"/>
          <w:color w:val="000000"/>
          <w:spacing w:val="0"/>
          <w:kern w:val="0"/>
          <w:sz w:val="32"/>
          <w:szCs w:val="32"/>
          <w:shd w:val="clear" w:fill="FFFFFF"/>
          <w:lang w:val="en-US" w:eastAsia="zh-CN" w:bidi="ar"/>
        </w:rPr>
        <w:t>2025</w:t>
      </w:r>
      <w:r>
        <w:rPr>
          <w:rFonts w:hint="eastAsia" w:ascii="仿宋_GB2312" w:hAnsi="仿宋_GB2312" w:eastAsia="仿宋_GB2312" w:cs="仿宋_GB2312"/>
          <w:i w:val="0"/>
          <w:caps w:val="0"/>
          <w:color w:val="000000"/>
          <w:spacing w:val="0"/>
          <w:kern w:val="0"/>
          <w:sz w:val="32"/>
          <w:szCs w:val="32"/>
          <w:shd w:val="clear" w:fill="FFFFFF"/>
          <w:lang w:val="en-US" w:eastAsia="zh-CN" w:bidi="ar"/>
        </w:rPr>
        <w:t>年，我局按照《条例》要求，以保障公众知情权为宗旨，以方便公众查询为着力点，不断拓展信息公开途径，加强信息公开载体建设，稳步推进信息公开工作，在宣传科工贸局、增强工作透明度、保证权力阳光运行等方面取得了一定成效。</w:t>
      </w:r>
    </w:p>
    <w:p w14:paraId="044E56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424242"/>
          <w:spacing w:val="0"/>
          <w:sz w:val="32"/>
          <w:szCs w:val="32"/>
        </w:rPr>
      </w:pPr>
      <w:r>
        <w:rPr>
          <w:rFonts w:hint="eastAsia" w:ascii="楷体_GB2312" w:hAnsi="楷体_GB2312" w:eastAsia="楷体_GB2312" w:cs="楷体_GB2312"/>
          <w:b/>
          <w:bCs/>
          <w:i w:val="0"/>
          <w:caps w:val="0"/>
          <w:color w:val="000000"/>
          <w:spacing w:val="0"/>
          <w:kern w:val="0"/>
          <w:sz w:val="32"/>
          <w:szCs w:val="32"/>
          <w:shd w:val="clear" w:fill="FFFFFF"/>
          <w:lang w:val="en-US" w:eastAsia="zh-CN" w:bidi="ar"/>
        </w:rPr>
        <w:t>（一）健全组织，强化领导，推动信息公开工作稳步开展。</w:t>
      </w:r>
      <w:r>
        <w:rPr>
          <w:rFonts w:hint="eastAsia" w:ascii="仿宋_GB2312" w:hAnsi="仿宋_GB2312" w:eastAsia="仿宋_GB2312" w:cs="仿宋_GB2312"/>
          <w:i w:val="0"/>
          <w:caps w:val="0"/>
          <w:color w:val="000000"/>
          <w:spacing w:val="0"/>
          <w:kern w:val="0"/>
          <w:sz w:val="32"/>
          <w:szCs w:val="32"/>
          <w:shd w:val="clear" w:fill="FFFFFF"/>
          <w:lang w:val="en-US" w:eastAsia="zh-CN" w:bidi="ar"/>
        </w:rPr>
        <w:t>我局高度重视政府信息公开工作，主要领导亲抓</w:t>
      </w:r>
      <w:r>
        <w:rPr>
          <w:rFonts w:hint="eastAsia" w:ascii="仿宋_GB2312" w:hAnsi="仿宋_GB2312" w:cs="仿宋_GB2312"/>
          <w:i w:val="0"/>
          <w:caps w:val="0"/>
          <w:color w:val="000000"/>
          <w:spacing w:val="0"/>
          <w:kern w:val="0"/>
          <w:sz w:val="32"/>
          <w:szCs w:val="32"/>
          <w:shd w:val="clear" w:fill="FFFFFF"/>
          <w:lang w:val="en-US" w:eastAsia="zh-CN" w:bidi="ar"/>
        </w:rPr>
        <w:t>，</w:t>
      </w:r>
      <w:r>
        <w:rPr>
          <w:rFonts w:hint="eastAsia" w:ascii="仿宋_GB2312" w:hAnsi="仿宋_GB2312" w:eastAsia="仿宋_GB2312" w:cs="仿宋_GB2312"/>
          <w:i w:val="0"/>
          <w:caps w:val="0"/>
          <w:color w:val="000000"/>
          <w:spacing w:val="0"/>
          <w:kern w:val="0"/>
          <w:sz w:val="32"/>
          <w:szCs w:val="32"/>
          <w:shd w:val="clear" w:fill="FFFFFF"/>
          <w:lang w:val="en-US" w:eastAsia="zh-CN" w:bidi="ar"/>
        </w:rPr>
        <w:t>办公室负责全局政府信息公开工作的推进、协调和监督。在任务较重、人手较少的情况下，充分调动各业务股室积极性，</w:t>
      </w:r>
      <w:r>
        <w:rPr>
          <w:rFonts w:hint="eastAsia" w:ascii="仿宋_GB2312" w:hAnsi="仿宋_GB2312" w:cs="仿宋_GB2312"/>
          <w:i w:val="0"/>
          <w:caps w:val="0"/>
          <w:color w:val="000000"/>
          <w:spacing w:val="0"/>
          <w:kern w:val="0"/>
          <w:sz w:val="32"/>
          <w:szCs w:val="32"/>
          <w:shd w:val="clear" w:fill="FFFFFF"/>
          <w:lang w:val="en-US" w:eastAsia="zh-CN" w:bidi="ar"/>
        </w:rPr>
        <w:t>制订计划</w:t>
      </w:r>
      <w:r>
        <w:rPr>
          <w:rFonts w:hint="eastAsia" w:ascii="仿宋_GB2312" w:hAnsi="仿宋_GB2312" w:eastAsia="仿宋_GB2312" w:cs="仿宋_GB2312"/>
          <w:i w:val="0"/>
          <w:caps w:val="0"/>
          <w:color w:val="000000"/>
          <w:spacing w:val="0"/>
          <w:kern w:val="0"/>
          <w:sz w:val="32"/>
          <w:szCs w:val="32"/>
          <w:shd w:val="clear" w:fill="FFFFFF"/>
          <w:lang w:val="en-US" w:eastAsia="zh-CN" w:bidi="ar"/>
        </w:rPr>
        <w:t>、落实责任、强化监督，保证了政府信息公开工作有条不紊推进。</w:t>
      </w:r>
    </w:p>
    <w:p w14:paraId="6E548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424242"/>
          <w:spacing w:val="0"/>
          <w:sz w:val="32"/>
          <w:szCs w:val="32"/>
        </w:rPr>
      </w:pPr>
      <w:r>
        <w:rPr>
          <w:rFonts w:hint="eastAsia" w:ascii="楷体_GB2312" w:hAnsi="楷体_GB2312" w:eastAsia="楷体_GB2312" w:cs="楷体_GB2312"/>
          <w:b/>
          <w:bCs/>
          <w:i w:val="0"/>
          <w:caps w:val="0"/>
          <w:color w:val="000000"/>
          <w:spacing w:val="0"/>
          <w:kern w:val="0"/>
          <w:sz w:val="32"/>
          <w:szCs w:val="32"/>
          <w:shd w:val="clear" w:fill="FFFFFF"/>
          <w:lang w:val="en-US" w:eastAsia="zh-CN" w:bidi="ar"/>
        </w:rPr>
        <w:t>（二）加强网络平台建设。</w:t>
      </w:r>
      <w:r>
        <w:rPr>
          <w:rFonts w:hint="eastAsia" w:ascii="仿宋_GB2312" w:hAnsi="仿宋_GB2312" w:eastAsia="仿宋_GB2312" w:cs="仿宋_GB2312"/>
          <w:i w:val="0"/>
          <w:caps w:val="0"/>
          <w:color w:val="000000"/>
          <w:spacing w:val="0"/>
          <w:kern w:val="0"/>
          <w:sz w:val="32"/>
          <w:szCs w:val="32"/>
          <w:shd w:val="clear" w:fill="FFFFFF"/>
          <w:lang w:val="en-US" w:eastAsia="zh-CN" w:bidi="ar"/>
        </w:rPr>
        <w:t>在湛江市政府和吴川市政府门户网站分支下的我局网站上，及时全面发布国家、省、市和</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地方工信、商务和科技法规制度</w:t>
      </w:r>
      <w:r>
        <w:rPr>
          <w:rFonts w:hint="eastAsia" w:ascii="仿宋_GB2312" w:hAnsi="仿宋_GB2312" w:eastAsia="仿宋_GB2312" w:cs="仿宋_GB2312"/>
          <w:i w:val="0"/>
          <w:caps w:val="0"/>
          <w:color w:val="000000"/>
          <w:spacing w:val="0"/>
          <w:kern w:val="0"/>
          <w:sz w:val="32"/>
          <w:szCs w:val="32"/>
          <w:shd w:val="clear" w:fill="FFFFFF"/>
          <w:lang w:val="en-US" w:eastAsia="zh-CN" w:bidi="ar"/>
        </w:rPr>
        <w:t>、政策措施、工作动态等各类信息，为公众了解我</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市科技、工信、商务、投资促进工作动态提供方</w:t>
      </w:r>
      <w:r>
        <w:rPr>
          <w:rFonts w:hint="eastAsia" w:ascii="仿宋_GB2312" w:hAnsi="仿宋_GB2312" w:eastAsia="仿宋_GB2312" w:cs="仿宋_GB2312"/>
          <w:i w:val="0"/>
          <w:caps w:val="0"/>
          <w:color w:val="000000"/>
          <w:spacing w:val="0"/>
          <w:kern w:val="0"/>
          <w:sz w:val="32"/>
          <w:szCs w:val="32"/>
          <w:shd w:val="clear" w:fill="FFFFFF"/>
          <w:lang w:val="en-US" w:eastAsia="zh-CN" w:bidi="ar"/>
        </w:rPr>
        <w:t>便。同时，公布了办理程序、依据、条件、时限及联系方式等，方便企事业单位和群众办事。</w:t>
      </w:r>
    </w:p>
    <w:p w14:paraId="61CC5B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b/>
          <w:bCs/>
          <w:i w:val="0"/>
          <w:caps w:val="0"/>
          <w:color w:val="000000"/>
          <w:spacing w:val="0"/>
          <w:kern w:val="0"/>
          <w:sz w:val="32"/>
          <w:szCs w:val="32"/>
          <w:shd w:val="clear" w:fill="FFFFFF"/>
          <w:lang w:val="en-US" w:eastAsia="zh-CN" w:bidi="ar"/>
        </w:rPr>
        <w:t>（三）拓展渠道，确保公众方便及时获取公开信息。</w:t>
      </w:r>
      <w:r>
        <w:rPr>
          <w:rFonts w:hint="eastAsia" w:ascii="仿宋_GB2312" w:hAnsi="仿宋_GB2312" w:eastAsia="仿宋_GB2312" w:cs="仿宋_GB2312"/>
          <w:i w:val="0"/>
          <w:caps w:val="0"/>
          <w:color w:val="auto"/>
          <w:spacing w:val="0"/>
          <w:kern w:val="0"/>
          <w:sz w:val="32"/>
          <w:szCs w:val="32"/>
          <w:shd w:val="clear" w:fill="FFFFFF"/>
          <w:lang w:val="en-US" w:eastAsia="zh-CN" w:bidi="ar"/>
        </w:rPr>
        <w:t>定期发布吴川市工业商贸运行态势、行业动态等分析以及提供政策信息指导服务。</w:t>
      </w:r>
    </w:p>
    <w:p w14:paraId="1961E9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caps w:val="0"/>
          <w:color w:val="000000"/>
          <w:spacing w:val="0"/>
          <w:kern w:val="0"/>
          <w:sz w:val="32"/>
          <w:szCs w:val="32"/>
          <w:shd w:val="clear" w:fill="FFFFFF"/>
          <w:lang w:val="en-US" w:eastAsia="zh-CN" w:bidi="ar"/>
        </w:rPr>
        <w:t>（四）强化指导，不断完善政府信息公开保障和激励机制。</w:t>
      </w:r>
      <w:r>
        <w:rPr>
          <w:rFonts w:hint="eastAsia" w:ascii="仿宋_GB2312" w:hAnsi="仿宋_GB2312" w:eastAsia="仿宋_GB2312" w:cs="仿宋_GB2312"/>
          <w:i w:val="0"/>
          <w:caps w:val="0"/>
          <w:color w:val="auto"/>
          <w:spacing w:val="0"/>
          <w:kern w:val="0"/>
          <w:sz w:val="32"/>
          <w:szCs w:val="32"/>
          <w:shd w:val="clear" w:fill="FFFFFF"/>
          <w:lang w:val="en-US" w:eastAsia="zh-CN" w:bidi="ar"/>
        </w:rPr>
        <w:t>按照市政府信息公开工作要求，</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组织各股室信息员进行了业务培训</w:t>
      </w:r>
      <w:r>
        <w:rPr>
          <w:rFonts w:hint="eastAsia" w:ascii="仿宋_GB2312" w:hAnsi="仿宋_GB2312" w:eastAsia="仿宋_GB2312" w:cs="仿宋_GB2312"/>
          <w:i w:val="0"/>
          <w:caps w:val="0"/>
          <w:color w:val="auto"/>
          <w:spacing w:val="0"/>
          <w:kern w:val="0"/>
          <w:sz w:val="32"/>
          <w:szCs w:val="32"/>
          <w:shd w:val="clear" w:fill="FFFFFF"/>
          <w:lang w:val="en-US" w:eastAsia="zh-CN" w:bidi="ar"/>
        </w:rPr>
        <w:t>，加强对政府信息公开工作的指导，并纳入局优秀股室评选考核内容，有效调动了局政府信息公开工作的积极性。</w:t>
      </w:r>
    </w:p>
    <w:p w14:paraId="647EF6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_GB2312" w:hAnsi="微软雅黑" w:eastAsia="仿宋_GB2312" w:cs="仿宋_GB2312"/>
          <w:b/>
          <w:i w:val="0"/>
          <w:caps w:val="0"/>
          <w:color w:val="auto"/>
          <w:spacing w:val="0"/>
          <w:kern w:val="0"/>
          <w:sz w:val="28"/>
          <w:szCs w:val="28"/>
          <w:shd w:val="clear" w:fill="FFFFFF"/>
          <w:lang w:val="en-US" w:eastAsia="zh-CN" w:bidi="ar"/>
        </w:rPr>
      </w:pPr>
      <w:r>
        <w:rPr>
          <w:rFonts w:hint="eastAsia" w:ascii="黑体" w:hAnsi="黑体" w:eastAsia="黑体" w:cs="黑体"/>
          <w:b w:val="0"/>
          <w:bCs/>
          <w:i w:val="0"/>
          <w:caps w:val="0"/>
          <w:color w:val="auto"/>
          <w:spacing w:val="0"/>
          <w:kern w:val="0"/>
          <w:sz w:val="32"/>
          <w:szCs w:val="32"/>
          <w:shd w:val="clear" w:fill="FFFFFF"/>
          <w:lang w:val="en-US" w:eastAsia="zh-CN" w:bidi="ar"/>
        </w:rPr>
        <w:t>二、主动公开政府信息情况</w:t>
      </w:r>
    </w:p>
    <w:p w14:paraId="0977D207">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仿宋_GB2312" w:hAnsi="微软雅黑" w:eastAsia="仿宋_GB2312" w:cs="仿宋_GB2312"/>
          <w:i w:val="0"/>
          <w:caps w:val="0"/>
          <w:color w:val="000000"/>
          <w:spacing w:val="0"/>
          <w:kern w:val="0"/>
          <w:sz w:val="32"/>
          <w:szCs w:val="32"/>
          <w:shd w:val="clear" w:fill="FFFFFF"/>
          <w:lang w:val="en-US" w:eastAsia="zh-CN" w:bidi="ar"/>
        </w:rPr>
        <w:t>我局主要通过局网站、报刊等方式主动公开我局的政府信息。</w:t>
      </w:r>
      <w:r>
        <w:rPr>
          <w:rFonts w:hint="eastAsia" w:ascii="仿宋_GB2312" w:hAnsi="微软雅黑" w:cs="仿宋_GB2312"/>
          <w:i w:val="0"/>
          <w:caps w:val="0"/>
          <w:color w:val="000000"/>
          <w:spacing w:val="0"/>
          <w:kern w:val="0"/>
          <w:sz w:val="32"/>
          <w:szCs w:val="32"/>
          <w:shd w:val="clear" w:fill="FFFFFF"/>
          <w:lang w:val="en-US" w:eastAsia="zh-CN" w:bidi="ar"/>
        </w:rPr>
        <w:t>2025</w:t>
      </w:r>
      <w:r>
        <w:rPr>
          <w:rFonts w:hint="eastAsia" w:ascii="仿宋_GB2312" w:hAnsi="微软雅黑" w:eastAsia="仿宋_GB2312" w:cs="仿宋_GB2312"/>
          <w:i w:val="0"/>
          <w:caps w:val="0"/>
          <w:color w:val="000000"/>
          <w:spacing w:val="0"/>
          <w:kern w:val="0"/>
          <w:sz w:val="32"/>
          <w:szCs w:val="32"/>
          <w:shd w:val="clear" w:fill="FFFFFF"/>
          <w:lang w:val="en-US" w:eastAsia="zh-CN" w:bidi="ar"/>
        </w:rPr>
        <w:t>年，我局在湛江市政府网站和吴川市政府网站下分支的网站发布机构职能、领导分工、公开指南、办事指南、工作动态、财政预决算</w:t>
      </w:r>
      <w:r>
        <w:rPr>
          <w:rFonts w:hint="eastAsia" w:ascii="仿宋_GB2312" w:hAnsi="微软雅黑" w:eastAsia="仿宋_GB2312" w:cs="仿宋_GB2312"/>
          <w:i w:val="0"/>
          <w:caps w:val="0"/>
          <w:color w:val="auto"/>
          <w:spacing w:val="0"/>
          <w:kern w:val="0"/>
          <w:sz w:val="32"/>
          <w:szCs w:val="32"/>
          <w:highlight w:val="none"/>
          <w:shd w:val="clear" w:fill="FFFFFF"/>
          <w:lang w:val="en-US" w:eastAsia="zh-CN" w:bidi="ar"/>
        </w:rPr>
        <w:t>、信息公开年度报告等专栏信息共</w:t>
      </w:r>
      <w:r>
        <w:rPr>
          <w:rFonts w:hint="eastAsia" w:ascii="仿宋_GB2312" w:hAnsi="微软雅黑" w:cs="仿宋_GB2312"/>
          <w:i w:val="0"/>
          <w:caps w:val="0"/>
          <w:color w:val="auto"/>
          <w:spacing w:val="0"/>
          <w:kern w:val="0"/>
          <w:sz w:val="32"/>
          <w:szCs w:val="32"/>
          <w:highlight w:val="none"/>
          <w:shd w:val="clear" w:fill="FFFFFF"/>
          <w:lang w:val="en-US" w:eastAsia="zh-CN" w:bidi="ar"/>
        </w:rPr>
        <w:t>98</w:t>
      </w:r>
      <w:r>
        <w:rPr>
          <w:rFonts w:hint="eastAsia" w:ascii="仿宋_GB2312" w:hAnsi="微软雅黑" w:eastAsia="仿宋_GB2312" w:cs="仿宋_GB2312"/>
          <w:i w:val="0"/>
          <w:caps w:val="0"/>
          <w:color w:val="auto"/>
          <w:spacing w:val="0"/>
          <w:kern w:val="0"/>
          <w:sz w:val="32"/>
          <w:szCs w:val="32"/>
          <w:highlight w:val="none"/>
          <w:shd w:val="clear" w:fill="FFFFFF"/>
          <w:lang w:val="en-US" w:eastAsia="zh-CN" w:bidi="ar"/>
        </w:rPr>
        <w:t>条。全年没有公共资源交易、重大建设项目批准和实施、公益事业建设等重点领域情况。</w:t>
      </w:r>
    </w:p>
    <w:tbl>
      <w:tblPr>
        <w:tblStyle w:val="6"/>
        <w:tblW w:w="8140" w:type="dxa"/>
        <w:jc w:val="center"/>
        <w:tblLayout w:type="fixed"/>
        <w:tblCellMar>
          <w:top w:w="0" w:type="dxa"/>
          <w:left w:w="0" w:type="dxa"/>
          <w:bottom w:w="0" w:type="dxa"/>
          <w:right w:w="0" w:type="dxa"/>
        </w:tblCellMar>
      </w:tblPr>
      <w:tblGrid>
        <w:gridCol w:w="3113"/>
        <w:gridCol w:w="1869"/>
        <w:gridCol w:w="1277"/>
        <w:gridCol w:w="1881"/>
      </w:tblGrid>
      <w:tr w14:paraId="6F2836BA">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14:paraId="2B0456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第二十条第（一）项</w:t>
            </w:r>
          </w:p>
        </w:tc>
      </w:tr>
      <w:tr w14:paraId="3D3A1090">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E532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信息内容</w:t>
            </w:r>
          </w:p>
        </w:tc>
        <w:tc>
          <w:tcPr>
            <w:tcW w:w="18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9147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本年</w:t>
            </w:r>
            <w:r>
              <w:rPr>
                <w:rFonts w:hint="eastAsia" w:ascii="仿宋_GB2312" w:hAnsi="仿宋_GB2312" w:eastAsia="仿宋_GB2312" w:cs="仿宋_GB2312"/>
                <w:color w:val="auto"/>
                <w:kern w:val="0"/>
                <w:sz w:val="20"/>
                <w:szCs w:val="20"/>
                <w:lang w:eastAsia="zh-CN"/>
              </w:rPr>
              <w:t>制发件数</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3CF9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本年</w:t>
            </w:r>
            <w:r>
              <w:rPr>
                <w:rFonts w:hint="eastAsia" w:ascii="仿宋_GB2312" w:hAnsi="仿宋_GB2312" w:eastAsia="仿宋_GB2312" w:cs="仿宋_GB2312"/>
                <w:color w:val="auto"/>
                <w:kern w:val="0"/>
                <w:sz w:val="20"/>
                <w:szCs w:val="20"/>
                <w:lang w:eastAsia="zh-CN"/>
              </w:rPr>
              <w:t>废止件数</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290D58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现行有效件数</w:t>
            </w:r>
          </w:p>
        </w:tc>
      </w:tr>
      <w:tr w14:paraId="1E4110E4">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A52A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规章</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14:paraId="328A21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cs="仿宋_GB2312"/>
                <w:color w:val="auto"/>
                <w:kern w:val="0"/>
                <w:sz w:val="20"/>
                <w:szCs w:val="20"/>
                <w:lang w:val="en-US"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14:paraId="0E2925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46A3EC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0</w:t>
            </w:r>
          </w:p>
        </w:tc>
      </w:tr>
      <w:tr w14:paraId="21D51F01">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D885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规范性文件</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14:paraId="0F206C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cs="仿宋_GB2312"/>
                <w:color w:val="auto"/>
                <w:kern w:val="0"/>
                <w:sz w:val="20"/>
                <w:szCs w:val="20"/>
                <w:lang w:val="en-US"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14:paraId="4EFDE0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6C1BBE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cs="仿宋_GB2312"/>
                <w:color w:val="auto"/>
                <w:kern w:val="0"/>
                <w:sz w:val="20"/>
                <w:szCs w:val="20"/>
                <w:lang w:val="en-US" w:eastAsia="zh-CN"/>
              </w:rPr>
              <w:t>0</w:t>
            </w:r>
          </w:p>
        </w:tc>
      </w:tr>
      <w:tr w14:paraId="2AF5D2EB">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477DD2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第二十条第（五）项</w:t>
            </w:r>
          </w:p>
        </w:tc>
      </w:tr>
      <w:tr w14:paraId="132A26B1">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1206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信息内容</w:t>
            </w:r>
          </w:p>
        </w:tc>
        <w:tc>
          <w:tcPr>
            <w:tcW w:w="502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6186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本年处理决定数量</w:t>
            </w:r>
          </w:p>
        </w:tc>
      </w:tr>
      <w:tr w14:paraId="05442595">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A860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行政许可</w:t>
            </w:r>
          </w:p>
        </w:tc>
        <w:tc>
          <w:tcPr>
            <w:tcW w:w="50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2E944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0</w:t>
            </w:r>
          </w:p>
        </w:tc>
      </w:tr>
      <w:tr w14:paraId="561FA505">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425863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第二十条第（六）项</w:t>
            </w:r>
          </w:p>
        </w:tc>
      </w:tr>
      <w:tr w14:paraId="15B5328F">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A460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信息内容</w:t>
            </w:r>
          </w:p>
        </w:tc>
        <w:tc>
          <w:tcPr>
            <w:tcW w:w="502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30D2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本年处理决定数量</w:t>
            </w:r>
          </w:p>
        </w:tc>
      </w:tr>
      <w:tr w14:paraId="5CEF3C84">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D0B8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行政处罚</w:t>
            </w:r>
          </w:p>
        </w:tc>
        <w:tc>
          <w:tcPr>
            <w:tcW w:w="50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A85E1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r>
      <w:tr w14:paraId="4368E682">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9F38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行政强制</w:t>
            </w:r>
          </w:p>
        </w:tc>
        <w:tc>
          <w:tcPr>
            <w:tcW w:w="50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96BBE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r>
      <w:tr w14:paraId="01FFD77A">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2BD31A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第二十条第（八）项</w:t>
            </w:r>
          </w:p>
        </w:tc>
      </w:tr>
      <w:tr w14:paraId="7107C323">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A97A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信息内容</w:t>
            </w:r>
          </w:p>
        </w:tc>
        <w:tc>
          <w:tcPr>
            <w:tcW w:w="5027" w:type="dxa"/>
            <w:gridSpan w:val="3"/>
            <w:tcBorders>
              <w:top w:val="nil"/>
              <w:left w:val="nil"/>
              <w:bottom w:val="single" w:color="auto" w:sz="8" w:space="0"/>
              <w:right w:val="single" w:color="000000" w:sz="8" w:space="0"/>
            </w:tcBorders>
            <w:shd w:val="clear" w:color="auto" w:fill="auto"/>
            <w:tcMar>
              <w:left w:w="108" w:type="dxa"/>
              <w:right w:w="108" w:type="dxa"/>
            </w:tcMar>
            <w:vAlign w:val="center"/>
          </w:tcPr>
          <w:p w14:paraId="7A23F9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本年收费金额（单位：万元）</w:t>
            </w:r>
          </w:p>
        </w:tc>
      </w:tr>
      <w:tr w14:paraId="104E16A6">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8F4C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行政事业性收费</w:t>
            </w:r>
          </w:p>
        </w:tc>
        <w:tc>
          <w:tcPr>
            <w:tcW w:w="5027" w:type="dxa"/>
            <w:gridSpan w:val="3"/>
            <w:tcBorders>
              <w:top w:val="nil"/>
              <w:left w:val="nil"/>
              <w:bottom w:val="single" w:color="auto" w:sz="8" w:space="0"/>
              <w:right w:val="single" w:color="000000" w:sz="8" w:space="0"/>
            </w:tcBorders>
            <w:shd w:val="clear" w:color="auto" w:fill="auto"/>
            <w:tcMar>
              <w:left w:w="108" w:type="dxa"/>
              <w:right w:w="108" w:type="dxa"/>
            </w:tcMar>
            <w:vAlign w:val="center"/>
          </w:tcPr>
          <w:p w14:paraId="761859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r>
    </w:tbl>
    <w:p w14:paraId="68482C71">
      <w:pPr>
        <w:pStyle w:val="5"/>
        <w:widowControl/>
        <w:shd w:val="clear" w:color="auto" w:fill="FFFFFF"/>
        <w:spacing w:beforeAutospacing="0" w:after="240" w:afterAutospacing="0"/>
        <w:ind w:firstLine="420"/>
        <w:jc w:val="both"/>
        <w:rPr>
          <w:rFonts w:hint="eastAsia" w:ascii="黑体" w:hAnsi="黑体" w:eastAsia="黑体" w:cs="黑体"/>
          <w:b w:val="0"/>
          <w:bCs/>
          <w:color w:val="333333"/>
          <w:sz w:val="32"/>
          <w:szCs w:val="32"/>
        </w:rPr>
      </w:pPr>
      <w:r>
        <w:rPr>
          <w:rFonts w:hint="eastAsia" w:ascii="黑体" w:hAnsi="黑体" w:eastAsia="黑体" w:cs="黑体"/>
          <w:b w:val="0"/>
          <w:bCs/>
          <w:color w:val="333333"/>
          <w:sz w:val="32"/>
          <w:szCs w:val="32"/>
          <w:shd w:val="clear" w:color="auto" w:fill="FFFFFF"/>
        </w:rPr>
        <w:t>三、收到和处理政府信息公开申请情况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94"/>
        <w:gridCol w:w="767"/>
        <w:gridCol w:w="2168"/>
        <w:gridCol w:w="791"/>
        <w:gridCol w:w="709"/>
        <w:gridCol w:w="832"/>
        <w:gridCol w:w="846"/>
        <w:gridCol w:w="763"/>
        <w:gridCol w:w="712"/>
        <w:gridCol w:w="689"/>
      </w:tblGrid>
      <w:tr w14:paraId="0D20AB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29"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A1208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（本列数据的勾稽关系为：第一项加第二项之和，等于第三项加第四项之和）</w:t>
            </w:r>
          </w:p>
        </w:tc>
        <w:tc>
          <w:tcPr>
            <w:tcW w:w="5342"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1ED7F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申请人情况</w:t>
            </w:r>
          </w:p>
        </w:tc>
      </w:tr>
      <w:tr w14:paraId="6366BE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2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F24ED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9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0FBA2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自然人</w:t>
            </w:r>
          </w:p>
        </w:tc>
        <w:tc>
          <w:tcPr>
            <w:tcW w:w="3862"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F6ADB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法人或其他组织</w:t>
            </w:r>
          </w:p>
        </w:tc>
        <w:tc>
          <w:tcPr>
            <w:tcW w:w="68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77C2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总计</w:t>
            </w:r>
          </w:p>
        </w:tc>
      </w:tr>
      <w:tr w14:paraId="24A81A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2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0DBA8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9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3F5A1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1F4CA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商业企业</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70701D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科研机构</w:t>
            </w:r>
          </w:p>
        </w:tc>
        <w:tc>
          <w:tcPr>
            <w:tcW w:w="84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33B3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社会公益组织</w:t>
            </w:r>
          </w:p>
        </w:tc>
        <w:tc>
          <w:tcPr>
            <w:tcW w:w="76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8AE1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法律服务机构</w:t>
            </w:r>
          </w:p>
        </w:tc>
        <w:tc>
          <w:tcPr>
            <w:tcW w:w="71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8983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w:t>
            </w:r>
          </w:p>
        </w:tc>
        <w:tc>
          <w:tcPr>
            <w:tcW w:w="68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8562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r>
      <w:tr w14:paraId="1FAC30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2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E192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一、本年新收政府信息公开申请数量</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21CE00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3D301C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44FC47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28A4EA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7DA549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341F59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68A78D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24B076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2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13A8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二、上年结转政府信息公开申请数量</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2EA5D6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5FF905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6E0336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15A185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6A4FB4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683E45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42BEF3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6CCB92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20C99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三、本年度办理结果</w:t>
            </w:r>
          </w:p>
        </w:tc>
        <w:tc>
          <w:tcPr>
            <w:tcW w:w="293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DD31B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（一）予以公开</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4BF899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64946D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16B597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5B7769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728195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5F7AAD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C2FF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5D4D3C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7521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93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4AAE9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（二）部分公开（区分处理的，只计这一情形，不计其他情形）</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41D5A8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5E2A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3A8D12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2F9DE7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6E67C9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46A1D6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64BA2E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387F7A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9049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CBAA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（三）不予公开</w:t>
            </w:r>
          </w:p>
        </w:tc>
        <w:tc>
          <w:tcPr>
            <w:tcW w:w="2168"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57C85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1.属于国家秘密</w:t>
            </w:r>
          </w:p>
        </w:tc>
        <w:tc>
          <w:tcPr>
            <w:tcW w:w="791"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0E7E4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60CB37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21421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08B342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4A7ECB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084CD5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3017E4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7C9779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9932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9F999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36D545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2.其他法律行政法规禁止公开</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54E190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3F21B1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166EC1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3752AB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66ED13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5FCDF2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0B646B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456BCD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32EB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F109D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5D8D34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3.危及“三安全一稳定”</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5F9244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209D4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1FC68D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050623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19DA58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2F4E10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063DA7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13825A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9917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701BA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0F50CB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4.保护第三方合法权益</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550913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05E9C1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478743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733259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6C53BD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5AFC88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1BAD6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5968C2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7BC1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10E75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221BA7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5.属于三类内部事务信息</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1B5969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6917D3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0B3A6F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2F6284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39F6C6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01456B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5D1316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4A7DFD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92F8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42C77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295228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6.属于四类过程性信息</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24737E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D8031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3F5747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2B74C4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76D5F3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11FD75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68C13B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0B998C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CAAB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B6FD5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7A28B7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7.属于行政执法案卷</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445CA9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1B9E79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0E6DA9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49A75C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773684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6736C5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0B8359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693506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57E6F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EB5DF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6A36A9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8.属于行政查询事项</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76D6E8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CCA01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1FFCB9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62F6DF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5F25D6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225519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353EC1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13A461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CA99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A786B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（四）无法提供</w:t>
            </w: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4F8CCD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1.本机关不掌握相关政府信息</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5632F9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13E506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1C9D0D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6249CD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05F7F8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27AAD6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0B77C6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3B3DDB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49B6F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6A909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7A896F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2.没有现成信息需要另行制作</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3DDCE5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02029F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6D241A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610380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048A54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255C4F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1269A5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202FD3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81AC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0A2E4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18F75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3.补正后申请内容仍不明确</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35D158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3D0A6A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6E82FA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63A753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15E297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37BBC7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668B7A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3EF73F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9091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7D2EA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（五）不予处理</w:t>
            </w: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2A0B67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1.信访举报投诉类申请</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5CF144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3CB8F1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041B92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67981A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1BBF88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123A6A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474E75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37D712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5A26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7F196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49CD15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2.重复申请</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70B165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F3EE5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2F5638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750E55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05F197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2F8510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51D02A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3F4969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DAD7F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25F31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7E12C7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3.要求提供公开出版物</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487DF0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B6C4D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2FF909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652B5E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41718F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0E211A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65F651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0000A1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1B30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08C29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52DD2A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4.无正当理由大量反复申请</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541E68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CFE4F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1C1554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1097AC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503310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6798BB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26AE01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02FF0B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8E17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13A4F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490A89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5.要求行政机关确认或重新出具已获取信息</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288E9D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FD39D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042B92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0B766A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7AFC30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06D6DC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705FDC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6AB497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0F0C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restart"/>
            <w:tcBorders>
              <w:top w:val="nil"/>
              <w:left w:val="nil"/>
              <w:right w:val="single" w:color="auto" w:sz="8" w:space="0"/>
            </w:tcBorders>
            <w:shd w:val="clear" w:color="auto" w:fill="auto"/>
            <w:tcMar>
              <w:left w:w="108" w:type="dxa"/>
              <w:right w:w="108" w:type="dxa"/>
            </w:tcMar>
            <w:vAlign w:val="center"/>
          </w:tcPr>
          <w:p w14:paraId="1F3C3B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（六）其他处理</w:t>
            </w: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3F57FA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1.申请人无正当理由逾期不补正、行政机关不再处理其政府信息公开申请</w:t>
            </w:r>
          </w:p>
        </w:tc>
        <w:tc>
          <w:tcPr>
            <w:tcW w:w="791" w:type="dxa"/>
            <w:tcBorders>
              <w:top w:val="nil"/>
              <w:left w:val="nil"/>
              <w:right w:val="single" w:color="auto" w:sz="8" w:space="0"/>
            </w:tcBorders>
            <w:shd w:val="clear" w:color="auto" w:fill="auto"/>
            <w:tcMar>
              <w:left w:w="108" w:type="dxa"/>
              <w:right w:w="108" w:type="dxa"/>
            </w:tcMar>
            <w:vAlign w:val="center"/>
          </w:tcPr>
          <w:p w14:paraId="333705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right w:val="single" w:color="auto" w:sz="8" w:space="0"/>
            </w:tcBorders>
            <w:shd w:val="clear" w:color="auto" w:fill="auto"/>
            <w:tcMar>
              <w:left w:w="108" w:type="dxa"/>
              <w:right w:w="108" w:type="dxa"/>
            </w:tcMar>
            <w:vAlign w:val="center"/>
          </w:tcPr>
          <w:p w14:paraId="5983AB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right w:val="single" w:color="auto" w:sz="8" w:space="0"/>
            </w:tcBorders>
            <w:shd w:val="clear" w:color="auto" w:fill="auto"/>
            <w:tcMar>
              <w:left w:w="108" w:type="dxa"/>
              <w:right w:w="108" w:type="dxa"/>
            </w:tcMar>
            <w:vAlign w:val="center"/>
          </w:tcPr>
          <w:p w14:paraId="576C51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right w:val="single" w:color="auto" w:sz="8" w:space="0"/>
            </w:tcBorders>
            <w:shd w:val="clear" w:color="auto" w:fill="auto"/>
            <w:tcMar>
              <w:left w:w="108" w:type="dxa"/>
              <w:right w:w="108" w:type="dxa"/>
            </w:tcMar>
            <w:vAlign w:val="center"/>
          </w:tcPr>
          <w:p w14:paraId="247545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right w:val="single" w:color="auto" w:sz="8" w:space="0"/>
            </w:tcBorders>
            <w:shd w:val="clear" w:color="auto" w:fill="auto"/>
            <w:tcMar>
              <w:left w:w="108" w:type="dxa"/>
              <w:right w:w="108" w:type="dxa"/>
            </w:tcMar>
            <w:vAlign w:val="center"/>
          </w:tcPr>
          <w:p w14:paraId="7427E8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right w:val="single" w:color="auto" w:sz="8" w:space="0"/>
            </w:tcBorders>
            <w:shd w:val="clear" w:color="auto" w:fill="auto"/>
            <w:tcMar>
              <w:left w:w="108" w:type="dxa"/>
              <w:right w:w="108" w:type="dxa"/>
            </w:tcMar>
            <w:vAlign w:val="center"/>
          </w:tcPr>
          <w:p w14:paraId="275FAC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right w:val="single" w:color="auto" w:sz="8" w:space="0"/>
            </w:tcBorders>
            <w:shd w:val="clear" w:color="auto" w:fill="auto"/>
            <w:tcMar>
              <w:left w:w="108" w:type="dxa"/>
              <w:right w:w="108" w:type="dxa"/>
            </w:tcMar>
            <w:vAlign w:val="center"/>
          </w:tcPr>
          <w:p w14:paraId="08E7F8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66C7FA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7AAE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left w:val="nil"/>
              <w:right w:val="single" w:color="auto" w:sz="8" w:space="0"/>
            </w:tcBorders>
            <w:shd w:val="clear" w:color="auto" w:fill="auto"/>
            <w:tcMar>
              <w:left w:w="108" w:type="dxa"/>
              <w:right w:w="108" w:type="dxa"/>
            </w:tcMar>
            <w:vAlign w:val="center"/>
          </w:tcPr>
          <w:p w14:paraId="4246AF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8" w:space="0"/>
              <w:right w:val="single" w:color="auto" w:sz="8" w:space="0"/>
            </w:tcBorders>
            <w:shd w:val="clear" w:color="auto" w:fill="auto"/>
            <w:tcMar>
              <w:left w:w="108" w:type="dxa"/>
              <w:right w:w="108" w:type="dxa"/>
            </w:tcMar>
            <w:vAlign w:val="center"/>
          </w:tcPr>
          <w:p w14:paraId="1DFA42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2.申请人逾期未按收费通知要求缴纳费用、行政机关不再处理其政府信息公开申请</w:t>
            </w:r>
          </w:p>
        </w:tc>
        <w:tc>
          <w:tcPr>
            <w:tcW w:w="791" w:type="dxa"/>
            <w:tcBorders>
              <w:left w:val="nil"/>
              <w:right w:val="single" w:color="auto" w:sz="8" w:space="0"/>
            </w:tcBorders>
            <w:shd w:val="clear" w:color="auto" w:fill="auto"/>
            <w:tcMar>
              <w:left w:w="108" w:type="dxa"/>
              <w:right w:w="108" w:type="dxa"/>
            </w:tcMar>
            <w:vAlign w:val="center"/>
          </w:tcPr>
          <w:p w14:paraId="694C6F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709" w:type="dxa"/>
            <w:tcBorders>
              <w:left w:val="nil"/>
              <w:right w:val="single" w:color="auto" w:sz="8" w:space="0"/>
            </w:tcBorders>
            <w:shd w:val="clear" w:color="auto" w:fill="auto"/>
            <w:tcMar>
              <w:left w:w="108" w:type="dxa"/>
              <w:right w:w="108" w:type="dxa"/>
            </w:tcMar>
            <w:vAlign w:val="center"/>
          </w:tcPr>
          <w:p w14:paraId="55B569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832" w:type="dxa"/>
            <w:tcBorders>
              <w:left w:val="nil"/>
              <w:right w:val="single" w:color="auto" w:sz="8" w:space="0"/>
            </w:tcBorders>
            <w:shd w:val="clear" w:color="auto" w:fill="auto"/>
            <w:tcMar>
              <w:left w:w="108" w:type="dxa"/>
              <w:right w:w="108" w:type="dxa"/>
            </w:tcMar>
            <w:vAlign w:val="center"/>
          </w:tcPr>
          <w:p w14:paraId="053455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846" w:type="dxa"/>
            <w:tcBorders>
              <w:left w:val="nil"/>
              <w:right w:val="single" w:color="auto" w:sz="8" w:space="0"/>
            </w:tcBorders>
            <w:shd w:val="clear" w:color="auto" w:fill="auto"/>
            <w:tcMar>
              <w:left w:w="108" w:type="dxa"/>
              <w:right w:w="108" w:type="dxa"/>
            </w:tcMar>
            <w:vAlign w:val="center"/>
          </w:tcPr>
          <w:p w14:paraId="56C503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763" w:type="dxa"/>
            <w:tcBorders>
              <w:left w:val="nil"/>
              <w:right w:val="single" w:color="auto" w:sz="8" w:space="0"/>
            </w:tcBorders>
            <w:shd w:val="clear" w:color="auto" w:fill="auto"/>
            <w:tcMar>
              <w:left w:w="108" w:type="dxa"/>
              <w:right w:w="108" w:type="dxa"/>
            </w:tcMar>
            <w:vAlign w:val="center"/>
          </w:tcPr>
          <w:p w14:paraId="060B23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712" w:type="dxa"/>
            <w:tcBorders>
              <w:left w:val="nil"/>
              <w:right w:val="single" w:color="auto" w:sz="8" w:space="0"/>
            </w:tcBorders>
            <w:shd w:val="clear" w:color="auto" w:fill="auto"/>
            <w:tcMar>
              <w:left w:w="108" w:type="dxa"/>
              <w:right w:w="108" w:type="dxa"/>
            </w:tcMar>
            <w:vAlign w:val="center"/>
          </w:tcPr>
          <w:p w14:paraId="40998A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689" w:type="dxa"/>
            <w:tcBorders>
              <w:left w:val="nil"/>
              <w:right w:val="single" w:color="auto" w:sz="8" w:space="0"/>
            </w:tcBorders>
            <w:shd w:val="clear" w:color="auto" w:fill="auto"/>
            <w:tcMar>
              <w:left w:w="108" w:type="dxa"/>
              <w:right w:w="108" w:type="dxa"/>
            </w:tcMar>
            <w:vAlign w:val="center"/>
          </w:tcPr>
          <w:p w14:paraId="49EE95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418FA0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jc w:val="center"/>
        </w:trPr>
        <w:tc>
          <w:tcPr>
            <w:tcW w:w="794"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137D8B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767" w:type="dxa"/>
            <w:vMerge w:val="continue"/>
            <w:tcBorders>
              <w:left w:val="nil"/>
              <w:bottom w:val="single" w:color="auto" w:sz="4" w:space="0"/>
              <w:right w:val="single" w:color="auto" w:sz="8" w:space="0"/>
            </w:tcBorders>
            <w:shd w:val="clear" w:color="auto" w:fill="auto"/>
            <w:tcMar>
              <w:left w:w="108" w:type="dxa"/>
              <w:right w:w="108" w:type="dxa"/>
            </w:tcMar>
            <w:vAlign w:val="center"/>
          </w:tcPr>
          <w:p w14:paraId="2F2306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168" w:type="dxa"/>
            <w:tcBorders>
              <w:top w:val="nil"/>
              <w:left w:val="nil"/>
              <w:bottom w:val="single" w:color="auto" w:sz="4" w:space="0"/>
              <w:right w:val="single" w:color="auto" w:sz="8" w:space="0"/>
            </w:tcBorders>
            <w:shd w:val="clear" w:color="auto" w:fill="auto"/>
            <w:tcMar>
              <w:left w:w="108" w:type="dxa"/>
              <w:right w:w="108" w:type="dxa"/>
            </w:tcMar>
            <w:vAlign w:val="center"/>
          </w:tcPr>
          <w:p w14:paraId="7812D0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3.其他</w:t>
            </w:r>
          </w:p>
        </w:tc>
        <w:tc>
          <w:tcPr>
            <w:tcW w:w="791" w:type="dxa"/>
            <w:tcBorders>
              <w:left w:val="nil"/>
              <w:bottom w:val="single" w:color="auto" w:sz="4" w:space="0"/>
              <w:right w:val="single" w:color="auto" w:sz="8" w:space="0"/>
            </w:tcBorders>
            <w:shd w:val="clear" w:color="auto" w:fill="auto"/>
            <w:tcMar>
              <w:left w:w="108" w:type="dxa"/>
              <w:right w:w="108" w:type="dxa"/>
            </w:tcMar>
            <w:vAlign w:val="center"/>
          </w:tcPr>
          <w:p w14:paraId="457B0F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709" w:type="dxa"/>
            <w:tcBorders>
              <w:left w:val="nil"/>
              <w:bottom w:val="single" w:color="auto" w:sz="4" w:space="0"/>
              <w:right w:val="single" w:color="auto" w:sz="8" w:space="0"/>
            </w:tcBorders>
            <w:shd w:val="clear" w:color="auto" w:fill="auto"/>
            <w:tcMar>
              <w:left w:w="108" w:type="dxa"/>
              <w:right w:w="108" w:type="dxa"/>
            </w:tcMar>
            <w:vAlign w:val="center"/>
          </w:tcPr>
          <w:p w14:paraId="7EE528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832" w:type="dxa"/>
            <w:tcBorders>
              <w:left w:val="nil"/>
              <w:bottom w:val="single" w:color="auto" w:sz="4" w:space="0"/>
              <w:right w:val="single" w:color="auto" w:sz="8" w:space="0"/>
            </w:tcBorders>
            <w:shd w:val="clear" w:color="auto" w:fill="auto"/>
            <w:tcMar>
              <w:left w:w="108" w:type="dxa"/>
              <w:right w:w="108" w:type="dxa"/>
            </w:tcMar>
            <w:vAlign w:val="center"/>
          </w:tcPr>
          <w:p w14:paraId="763B8B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846" w:type="dxa"/>
            <w:tcBorders>
              <w:left w:val="nil"/>
              <w:bottom w:val="single" w:color="auto" w:sz="4" w:space="0"/>
              <w:right w:val="single" w:color="auto" w:sz="8" w:space="0"/>
            </w:tcBorders>
            <w:shd w:val="clear" w:color="auto" w:fill="auto"/>
            <w:tcMar>
              <w:left w:w="108" w:type="dxa"/>
              <w:right w:w="108" w:type="dxa"/>
            </w:tcMar>
            <w:vAlign w:val="center"/>
          </w:tcPr>
          <w:p w14:paraId="1090CA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763" w:type="dxa"/>
            <w:tcBorders>
              <w:left w:val="nil"/>
              <w:bottom w:val="single" w:color="auto" w:sz="4" w:space="0"/>
              <w:right w:val="single" w:color="auto" w:sz="8" w:space="0"/>
            </w:tcBorders>
            <w:shd w:val="clear" w:color="auto" w:fill="auto"/>
            <w:tcMar>
              <w:left w:w="108" w:type="dxa"/>
              <w:right w:w="108" w:type="dxa"/>
            </w:tcMar>
            <w:vAlign w:val="center"/>
          </w:tcPr>
          <w:p w14:paraId="617B62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712" w:type="dxa"/>
            <w:tcBorders>
              <w:left w:val="nil"/>
              <w:bottom w:val="single" w:color="auto" w:sz="4" w:space="0"/>
              <w:right w:val="single" w:color="auto" w:sz="8" w:space="0"/>
            </w:tcBorders>
            <w:shd w:val="clear" w:color="auto" w:fill="auto"/>
            <w:tcMar>
              <w:left w:w="108" w:type="dxa"/>
              <w:right w:w="108" w:type="dxa"/>
            </w:tcMar>
            <w:vAlign w:val="center"/>
          </w:tcPr>
          <w:p w14:paraId="0CD07C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689" w:type="dxa"/>
            <w:tcBorders>
              <w:left w:val="nil"/>
              <w:bottom w:val="single" w:color="auto" w:sz="4" w:space="0"/>
              <w:right w:val="single" w:color="auto" w:sz="8" w:space="0"/>
            </w:tcBorders>
            <w:shd w:val="clear" w:color="auto" w:fill="auto"/>
            <w:tcMar>
              <w:left w:w="108" w:type="dxa"/>
              <w:right w:w="108" w:type="dxa"/>
            </w:tcMar>
            <w:vAlign w:val="center"/>
          </w:tcPr>
          <w:p w14:paraId="725FD2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2EEC54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952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p>
        </w:tc>
        <w:tc>
          <w:tcPr>
            <w:tcW w:w="2935" w:type="dxa"/>
            <w:gridSpan w:val="2"/>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6111B7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（七）总计</w:t>
            </w:r>
          </w:p>
        </w:tc>
        <w:tc>
          <w:tcPr>
            <w:tcW w:w="791"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2E340C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3C1989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1D9926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0F0C59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A77E4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33F83D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03A90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5C6A8E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2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3AA7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四、结转下年度继续办理</w:t>
            </w:r>
          </w:p>
        </w:tc>
        <w:tc>
          <w:tcPr>
            <w:tcW w:w="791" w:type="dxa"/>
            <w:tcBorders>
              <w:top w:val="nil"/>
              <w:left w:val="nil"/>
              <w:bottom w:val="single" w:color="auto" w:sz="8" w:space="0"/>
              <w:right w:val="single" w:color="auto" w:sz="8" w:space="0"/>
            </w:tcBorders>
            <w:shd w:val="clear" w:color="auto" w:fill="auto"/>
            <w:tcMar>
              <w:left w:w="108" w:type="dxa"/>
              <w:right w:w="108" w:type="dxa"/>
            </w:tcMar>
            <w:vAlign w:val="center"/>
          </w:tcPr>
          <w:p w14:paraId="6D8DAE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4C4C1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32" w:type="dxa"/>
            <w:tcBorders>
              <w:top w:val="nil"/>
              <w:left w:val="nil"/>
              <w:bottom w:val="single" w:color="auto" w:sz="8" w:space="0"/>
              <w:right w:val="single" w:color="auto" w:sz="8" w:space="0"/>
            </w:tcBorders>
            <w:shd w:val="clear" w:color="auto" w:fill="auto"/>
            <w:tcMar>
              <w:left w:w="108" w:type="dxa"/>
              <w:right w:w="108" w:type="dxa"/>
            </w:tcMar>
            <w:vAlign w:val="center"/>
          </w:tcPr>
          <w:p w14:paraId="4D7C75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46" w:type="dxa"/>
            <w:tcBorders>
              <w:top w:val="nil"/>
              <w:left w:val="nil"/>
              <w:bottom w:val="single" w:color="auto" w:sz="8" w:space="0"/>
              <w:right w:val="single" w:color="auto" w:sz="8" w:space="0"/>
            </w:tcBorders>
            <w:shd w:val="clear" w:color="auto" w:fill="auto"/>
            <w:tcMar>
              <w:left w:w="108" w:type="dxa"/>
              <w:right w:w="108" w:type="dxa"/>
            </w:tcMar>
            <w:vAlign w:val="center"/>
          </w:tcPr>
          <w:p w14:paraId="014AF5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63" w:type="dxa"/>
            <w:tcBorders>
              <w:top w:val="nil"/>
              <w:left w:val="nil"/>
              <w:bottom w:val="single" w:color="auto" w:sz="8" w:space="0"/>
              <w:right w:val="single" w:color="auto" w:sz="8" w:space="0"/>
            </w:tcBorders>
            <w:shd w:val="clear" w:color="auto" w:fill="auto"/>
            <w:tcMar>
              <w:left w:w="108" w:type="dxa"/>
              <w:right w:w="108" w:type="dxa"/>
            </w:tcMar>
            <w:vAlign w:val="center"/>
          </w:tcPr>
          <w:p w14:paraId="09F770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58A349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5BCAC3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bl>
    <w:p w14:paraId="7E0756D8">
      <w:pPr>
        <w:pStyle w:val="5"/>
        <w:widowControl/>
        <w:shd w:val="clear" w:color="auto" w:fill="FFFFFF"/>
        <w:spacing w:beforeAutospacing="0" w:afterAutospacing="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shd w:val="clear" w:color="auto" w:fill="FFFFFF"/>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C3EEF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87133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D620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行政诉讼</w:t>
            </w:r>
          </w:p>
        </w:tc>
      </w:tr>
      <w:tr w14:paraId="193CD7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8717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34202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C50B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F8E8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3D38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F9653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B542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复议后起诉</w:t>
            </w:r>
          </w:p>
        </w:tc>
      </w:tr>
      <w:tr w14:paraId="1D7877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AE6B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8E0ED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4E77C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3BE2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0233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DBD4D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0A76E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C609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D528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1A9C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CBCF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DAE3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B8B1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F866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7E9F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总计</w:t>
            </w:r>
          </w:p>
        </w:tc>
      </w:tr>
      <w:tr w14:paraId="5B5197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C96C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105A5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162E2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A6EBD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4A8EFB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94D5E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AEB28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26D20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FEF9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9C8AC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97BE6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3DCB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51CAA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32B96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86838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r>
    </w:tbl>
    <w:p w14:paraId="1BF17E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黑体" w:hAnsi="黑体" w:eastAsia="黑体" w:cs="黑体"/>
          <w:i w:val="0"/>
          <w:caps w:val="0"/>
          <w:color w:val="000000"/>
          <w:spacing w:val="0"/>
          <w:kern w:val="0"/>
          <w:sz w:val="32"/>
          <w:szCs w:val="32"/>
          <w:shd w:val="clear" w:fill="FFFFFF"/>
          <w:lang w:val="en-US" w:eastAsia="zh-CN" w:bidi="ar"/>
        </w:rPr>
      </w:pPr>
      <w:r>
        <w:rPr>
          <w:rFonts w:hint="eastAsia" w:ascii="黑体" w:hAnsi="黑体" w:eastAsia="黑体" w:cs="黑体"/>
          <w:i w:val="0"/>
          <w:caps w:val="0"/>
          <w:color w:val="000000"/>
          <w:spacing w:val="0"/>
          <w:kern w:val="0"/>
          <w:sz w:val="32"/>
          <w:szCs w:val="32"/>
          <w:shd w:val="clear" w:fill="FFFFFF"/>
          <w:lang w:val="en-US" w:eastAsia="zh-CN" w:bidi="ar"/>
        </w:rPr>
        <w:t>五、存在的主要问题及改进情况</w:t>
      </w:r>
    </w:p>
    <w:p w14:paraId="3E97F8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cs="仿宋_GB2312"/>
          <w:i w:val="0"/>
          <w:caps w:val="0"/>
          <w:color w:val="000000"/>
          <w:spacing w:val="0"/>
          <w:kern w:val="0"/>
          <w:sz w:val="32"/>
          <w:szCs w:val="32"/>
          <w:shd w:val="clear" w:fill="FFFFFF"/>
          <w:lang w:val="en-US" w:eastAsia="zh-CN" w:bidi="ar"/>
        </w:rPr>
        <w:t>2025</w:t>
      </w:r>
      <w:r>
        <w:rPr>
          <w:rFonts w:hint="eastAsia" w:ascii="仿宋_GB2312" w:hAnsi="仿宋_GB2312" w:eastAsia="仿宋_GB2312" w:cs="仿宋_GB2312"/>
          <w:i w:val="0"/>
          <w:caps w:val="0"/>
          <w:color w:val="000000"/>
          <w:spacing w:val="0"/>
          <w:kern w:val="0"/>
          <w:sz w:val="32"/>
          <w:szCs w:val="32"/>
          <w:shd w:val="clear" w:fill="FFFFFF"/>
          <w:lang w:val="en-US" w:eastAsia="zh-CN" w:bidi="ar"/>
        </w:rPr>
        <w:t>年，在市委市政府的正确领导下，虽然我局政府信息公开工作取得了一定的成绩，但也存在一些问题与不足，主要表现为：一是对政府信息公开的重要性的认识还需进一步增强，目前部分股室的信息公开还不够及时；二是政府信息公开的内容和形式还需进一步深化和拓展。</w:t>
      </w:r>
    </w:p>
    <w:p w14:paraId="7F0149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cs="仿宋_GB2312"/>
          <w:i w:val="0"/>
          <w:caps w:val="0"/>
          <w:color w:val="000000"/>
          <w:spacing w:val="0"/>
          <w:kern w:val="0"/>
          <w:sz w:val="32"/>
          <w:szCs w:val="32"/>
          <w:shd w:val="clear" w:fill="FFFFFF"/>
          <w:lang w:val="en-US" w:eastAsia="zh-CN" w:bidi="ar"/>
        </w:rPr>
        <w:t>2025</w:t>
      </w:r>
      <w:r>
        <w:rPr>
          <w:rFonts w:hint="eastAsia" w:ascii="仿宋_GB2312" w:hAnsi="仿宋_GB2312" w:eastAsia="仿宋_GB2312" w:cs="仿宋_GB2312"/>
          <w:i w:val="0"/>
          <w:caps w:val="0"/>
          <w:color w:val="000000"/>
          <w:spacing w:val="0"/>
          <w:kern w:val="0"/>
          <w:sz w:val="32"/>
          <w:szCs w:val="32"/>
          <w:shd w:val="clear" w:fill="FFFFFF"/>
          <w:lang w:val="en-US" w:eastAsia="zh-CN" w:bidi="ar"/>
        </w:rPr>
        <w:t>年，我局将认真总结经验，努力探索工作规律，全面深入地推进政府信息公开工作。</w:t>
      </w:r>
    </w:p>
    <w:p w14:paraId="67BA6E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3"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一是</w:t>
      </w:r>
      <w:r>
        <w:rPr>
          <w:rFonts w:hint="eastAsia" w:ascii="仿宋_GB2312" w:hAnsi="仿宋_GB2312" w:eastAsia="仿宋_GB2312" w:cs="仿宋_GB2312"/>
          <w:i w:val="0"/>
          <w:caps w:val="0"/>
          <w:color w:val="000000"/>
          <w:spacing w:val="0"/>
          <w:kern w:val="0"/>
          <w:sz w:val="32"/>
          <w:szCs w:val="32"/>
          <w:shd w:val="clear" w:fill="FFFFFF"/>
          <w:lang w:val="en-US" w:eastAsia="zh-CN" w:bidi="ar"/>
        </w:rPr>
        <w:t>进一步完善湛江市政府和吴川市政府分支网站建设。充分发挥门户网站覆盖面广、权威性高和传播速度快的优势，扩大信息公开范围，丰富公开内容，加大政府信息的发布力度。</w:t>
      </w:r>
    </w:p>
    <w:p w14:paraId="219DDF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3"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二是</w:t>
      </w:r>
      <w:r>
        <w:rPr>
          <w:rFonts w:hint="eastAsia" w:ascii="仿宋_GB2312" w:hAnsi="仿宋_GB2312" w:eastAsia="仿宋_GB2312" w:cs="仿宋_GB2312"/>
          <w:i w:val="0"/>
          <w:caps w:val="0"/>
          <w:color w:val="000000"/>
          <w:spacing w:val="0"/>
          <w:kern w:val="0"/>
          <w:sz w:val="32"/>
          <w:szCs w:val="32"/>
          <w:shd w:val="clear" w:fill="FFFFFF"/>
          <w:lang w:val="en-US" w:eastAsia="zh-CN" w:bidi="ar"/>
        </w:rPr>
        <w:t>丰富</w:t>
      </w:r>
      <w:r>
        <w:rPr>
          <w:rFonts w:hint="eastAsia" w:ascii="仿宋_GB2312" w:hAnsi="仿宋_GB2312" w:cs="仿宋_GB2312"/>
          <w:i w:val="0"/>
          <w:caps w:val="0"/>
          <w:color w:val="000000"/>
          <w:spacing w:val="0"/>
          <w:kern w:val="0"/>
          <w:sz w:val="32"/>
          <w:szCs w:val="32"/>
          <w:shd w:val="clear" w:fill="FFFFFF"/>
          <w:lang w:val="en-US" w:eastAsia="zh-CN" w:bidi="ar"/>
        </w:rPr>
        <w:t>和深化</w:t>
      </w:r>
      <w:r>
        <w:rPr>
          <w:rFonts w:hint="eastAsia" w:ascii="仿宋_GB2312" w:hAnsi="仿宋_GB2312" w:eastAsia="仿宋_GB2312" w:cs="仿宋_GB2312"/>
          <w:i w:val="0"/>
          <w:caps w:val="0"/>
          <w:color w:val="000000"/>
          <w:spacing w:val="0"/>
          <w:kern w:val="0"/>
          <w:sz w:val="32"/>
          <w:szCs w:val="32"/>
          <w:shd w:val="clear" w:fill="FFFFFF"/>
          <w:lang w:val="en-US" w:eastAsia="zh-CN" w:bidi="ar"/>
        </w:rPr>
        <w:t>政府信息公开内容</w:t>
      </w:r>
      <w:r>
        <w:rPr>
          <w:rFonts w:hint="eastAsia" w:ascii="仿宋_GB2312" w:hAnsi="仿宋_GB2312" w:cs="仿宋_GB2312"/>
          <w:i w:val="0"/>
          <w:caps w:val="0"/>
          <w:color w:val="000000"/>
          <w:spacing w:val="0"/>
          <w:kern w:val="0"/>
          <w:sz w:val="32"/>
          <w:szCs w:val="32"/>
          <w:shd w:val="clear" w:fill="FFFFFF"/>
          <w:lang w:val="en-US" w:eastAsia="zh-CN" w:bidi="ar"/>
        </w:rPr>
        <w:t>，</w:t>
      </w:r>
      <w:r>
        <w:rPr>
          <w:rFonts w:hint="eastAsia" w:ascii="仿宋_GB2312" w:hAnsi="仿宋_GB2312" w:eastAsia="仿宋_GB2312" w:cs="仿宋_GB2312"/>
          <w:i w:val="0"/>
          <w:caps w:val="0"/>
          <w:color w:val="000000"/>
          <w:spacing w:val="0"/>
          <w:kern w:val="0"/>
          <w:sz w:val="32"/>
          <w:szCs w:val="32"/>
          <w:shd w:val="clear" w:fill="FFFFFF"/>
          <w:lang w:val="en-US" w:eastAsia="zh-CN" w:bidi="ar"/>
        </w:rPr>
        <w:t>拓宽政府信息公开渠道。按照“公开为原则，不公开为例外”的总体要求，进一步梳理、深化本部门信息公开内容，确保该公开内容全部公开，涉密内容不公开。</w:t>
      </w:r>
    </w:p>
    <w:p w14:paraId="49353B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3"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三是</w:t>
      </w:r>
      <w:r>
        <w:rPr>
          <w:rFonts w:hint="eastAsia" w:ascii="仿宋_GB2312" w:hAnsi="仿宋_GB2312" w:eastAsia="仿宋_GB2312" w:cs="仿宋_GB2312"/>
          <w:i w:val="0"/>
          <w:caps w:val="0"/>
          <w:color w:val="000000"/>
          <w:spacing w:val="0"/>
          <w:kern w:val="0"/>
          <w:sz w:val="32"/>
          <w:szCs w:val="32"/>
          <w:shd w:val="clear" w:fill="FFFFFF"/>
          <w:lang w:val="en-US" w:eastAsia="zh-CN" w:bidi="ar"/>
        </w:rPr>
        <w:t>加强本部门政府信息公开工作人员的业务学习和培训，促进政府信息及时、准确、规范公开。</w:t>
      </w:r>
    </w:p>
    <w:p w14:paraId="132356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3"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四是</w:t>
      </w:r>
      <w:r>
        <w:rPr>
          <w:rFonts w:hint="eastAsia" w:ascii="仿宋_GB2312" w:hAnsi="仿宋_GB2312" w:eastAsia="仿宋_GB2312" w:cs="仿宋_GB2312"/>
          <w:i w:val="0"/>
          <w:caps w:val="0"/>
          <w:color w:val="000000"/>
          <w:spacing w:val="0"/>
          <w:kern w:val="0"/>
          <w:sz w:val="32"/>
          <w:szCs w:val="32"/>
          <w:shd w:val="clear" w:fill="FFFFFF"/>
          <w:lang w:val="en-US" w:eastAsia="zh-CN" w:bidi="ar"/>
        </w:rPr>
        <w:t>进一步健全和完善信息公开各项制度。结合工作实际，进一步修改和完善信息公开制度，建立内容保障长效机制，调动各股室信息报送的主动性和积极性，确保政务信息公开的质量和实用性要求，不断提高市科工贸局政府信息公开整体工作水平。</w:t>
      </w:r>
    </w:p>
    <w:p w14:paraId="63C82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黑体" w:hAnsi="黑体" w:eastAsia="黑体" w:cs="黑体"/>
          <w:i w:val="0"/>
          <w:caps w:val="0"/>
          <w:color w:val="000000"/>
          <w:spacing w:val="0"/>
          <w:kern w:val="0"/>
          <w:sz w:val="32"/>
          <w:szCs w:val="32"/>
          <w:shd w:val="clear" w:fill="FFFFFF"/>
          <w:lang w:val="en-US" w:eastAsia="zh-CN" w:bidi="ar"/>
        </w:rPr>
      </w:pPr>
      <w:r>
        <w:rPr>
          <w:rFonts w:hint="eastAsia" w:ascii="黑体" w:hAnsi="黑体" w:eastAsia="黑体" w:cs="黑体"/>
          <w:i w:val="0"/>
          <w:caps w:val="0"/>
          <w:color w:val="000000"/>
          <w:spacing w:val="0"/>
          <w:kern w:val="0"/>
          <w:sz w:val="32"/>
          <w:szCs w:val="32"/>
          <w:shd w:val="clear" w:fill="FFFFFF"/>
          <w:lang w:val="en-US" w:eastAsia="zh-CN" w:bidi="ar"/>
        </w:rPr>
        <w:t>六、其他需要报告的事项</w:t>
      </w:r>
    </w:p>
    <w:p w14:paraId="2B2706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收取信息处理费的情况：本年度无发出收费通知事项，无收取信息处理费用情况。</w:t>
      </w:r>
    </w:p>
    <w:p w14:paraId="2419214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我局将把政府信息公开工作摆到更加重要的位置，加强领导和监督，完善运转的工作机制，认真做好政府信息公开工作，在推动政府职能转变、加强党风廉政建设方面发挥更大作用。</w:t>
      </w:r>
    </w:p>
    <w:p w14:paraId="2C2F0AE8">
      <w:pPr>
        <w:pStyle w:val="2"/>
        <w:keepNext w:val="0"/>
        <w:keepLines w:val="0"/>
        <w:pageBreakBefore w:val="0"/>
        <w:kinsoku/>
        <w:wordWrap w:val="0"/>
        <w:overflowPunct/>
        <w:topLinePunct w:val="0"/>
        <w:autoSpaceDE/>
        <w:autoSpaceDN/>
        <w:bidi w:val="0"/>
        <w:adjustRightInd/>
        <w:snapToGrid/>
        <w:spacing w:after="0" w:afterLines="0" w:line="560" w:lineRule="exact"/>
        <w:ind w:left="0" w:leftChars="0" w:firstLine="640" w:firstLineChars="200"/>
        <w:jc w:val="right"/>
        <w:textAlignment w:val="auto"/>
        <w:rPr>
          <w:rFonts w:hint="eastAsia" w:ascii="仿宋_GB2312" w:hAnsi="仿宋_GB2312" w:eastAsia="仿宋_GB2312" w:cs="仿宋_GB2312"/>
          <w:lang w:eastAsia="zh-CN"/>
        </w:rPr>
      </w:pPr>
    </w:p>
    <w:p w14:paraId="5340A209">
      <w:pPr>
        <w:pStyle w:val="2"/>
        <w:keepNext w:val="0"/>
        <w:keepLines w:val="0"/>
        <w:pageBreakBefore w:val="0"/>
        <w:kinsoku/>
        <w:wordWrap w:val="0"/>
        <w:overflowPunct/>
        <w:topLinePunct w:val="0"/>
        <w:autoSpaceDE/>
        <w:autoSpaceDN/>
        <w:bidi w:val="0"/>
        <w:adjustRightInd/>
        <w:snapToGrid/>
        <w:spacing w:after="0" w:afterLines="0" w:line="560" w:lineRule="exact"/>
        <w:ind w:left="0" w:leftChars="0" w:firstLine="640" w:firstLineChars="200"/>
        <w:jc w:val="right"/>
        <w:textAlignment w:val="auto"/>
        <w:rPr>
          <w:rFonts w:hint="eastAsia" w:ascii="仿宋_GB2312" w:hAnsi="仿宋_GB2312" w:eastAsia="仿宋_GB2312" w:cs="仿宋_GB2312"/>
          <w:lang w:eastAsia="zh-CN"/>
        </w:rPr>
      </w:pPr>
    </w:p>
    <w:p w14:paraId="2824D983">
      <w:pPr>
        <w:pStyle w:val="2"/>
        <w:keepNext w:val="0"/>
        <w:keepLines w:val="0"/>
        <w:pageBreakBefore w:val="0"/>
        <w:kinsoku/>
        <w:wordWrap w:val="0"/>
        <w:overflowPunct/>
        <w:topLinePunct w:val="0"/>
        <w:autoSpaceDE/>
        <w:autoSpaceDN/>
        <w:bidi w:val="0"/>
        <w:adjustRightInd/>
        <w:snapToGrid/>
        <w:spacing w:after="0" w:afterLines="0" w:line="560" w:lineRule="exact"/>
        <w:ind w:left="0" w:leftChars="0"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吴川市科工贸和信息化局</w:t>
      </w:r>
      <w:r>
        <w:rPr>
          <w:rFonts w:hint="eastAsia" w:ascii="仿宋_GB2312" w:hAnsi="仿宋_GB2312" w:cs="仿宋_GB2312"/>
          <w:lang w:val="en-US" w:eastAsia="zh-CN"/>
        </w:rPr>
        <w:t xml:space="preserve">  </w:t>
      </w:r>
    </w:p>
    <w:p w14:paraId="4D504730">
      <w:pPr>
        <w:pStyle w:val="2"/>
        <w:keepNext w:val="0"/>
        <w:keepLines w:val="0"/>
        <w:pageBreakBefore w:val="0"/>
        <w:kinsoku/>
        <w:wordWrap w:val="0"/>
        <w:overflowPunct/>
        <w:topLinePunct w:val="0"/>
        <w:autoSpaceDE/>
        <w:autoSpaceDN/>
        <w:bidi w:val="0"/>
        <w:adjustRightInd/>
        <w:snapToGrid/>
        <w:spacing w:after="0" w:afterLines="0" w:line="560" w:lineRule="exact"/>
        <w:ind w:left="0" w:leftChars="0" w:firstLine="640" w:firstLineChars="200"/>
        <w:jc w:val="right"/>
        <w:textAlignment w:val="auto"/>
        <w:rPr>
          <w:rFonts w:hint="default"/>
          <w:lang w:val="en-US" w:eastAsia="zh-CN"/>
        </w:rPr>
      </w:pP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6</w:t>
      </w:r>
      <w:r>
        <w:rPr>
          <w:rFonts w:hint="eastAsia" w:ascii="仿宋_GB2312" w:hAnsi="仿宋_GB2312" w:eastAsia="仿宋_GB2312" w:cs="仿宋_GB2312"/>
          <w:lang w:val="en-US" w:eastAsia="zh-CN"/>
        </w:rPr>
        <w:t>年</w:t>
      </w:r>
      <w:r>
        <w:rPr>
          <w:rFonts w:hint="eastAsia" w:ascii="仿宋_GB2312" w:hAnsi="仿宋_GB2312" w:cs="仿宋_GB2312"/>
          <w:lang w:val="en-US" w:eastAsia="zh-CN"/>
        </w:rPr>
        <w:t>1</w:t>
      </w:r>
      <w:r>
        <w:rPr>
          <w:rFonts w:hint="eastAsia" w:ascii="仿宋_GB2312" w:hAnsi="仿宋_GB2312" w:eastAsia="仿宋_GB2312" w:cs="仿宋_GB2312"/>
          <w:lang w:val="en-US" w:eastAsia="zh-CN"/>
        </w:rPr>
        <w:t>月</w:t>
      </w:r>
      <w:r>
        <w:rPr>
          <w:rFonts w:hint="eastAsia" w:ascii="仿宋_GB2312" w:hAnsi="仿宋_GB2312" w:cs="仿宋_GB2312"/>
          <w:lang w:val="en-US" w:eastAsia="zh-CN"/>
        </w:rPr>
        <w:t>16</w:t>
      </w:r>
      <w:r>
        <w:rPr>
          <w:rFonts w:hint="eastAsia" w:ascii="仿宋_GB2312" w:hAnsi="仿宋_GB2312" w:eastAsia="仿宋_GB2312" w:cs="仿宋_GB2312"/>
          <w:lang w:val="en-US" w:eastAsia="zh-CN"/>
        </w:rPr>
        <w:t>日</w:t>
      </w:r>
      <w:r>
        <w:rPr>
          <w:rFonts w:hint="eastAsia" w:ascii="仿宋_GB2312" w:hAnsi="仿宋_GB2312" w:cs="仿宋_GB2312"/>
          <w:lang w:val="en-US" w:eastAsia="zh-CN"/>
        </w:rPr>
        <w:t xml:space="preserve">     </w:t>
      </w:r>
    </w:p>
    <w:p w14:paraId="4033AE64"/>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TE5YTgwNjE0NzUwMWI0NjUyZDU4M2EwYTNiMGUifQ=="/>
  </w:docVars>
  <w:rsids>
    <w:rsidRoot w:val="186A3CEA"/>
    <w:rsid w:val="01255120"/>
    <w:rsid w:val="05123214"/>
    <w:rsid w:val="07155C37"/>
    <w:rsid w:val="0CCE470F"/>
    <w:rsid w:val="0F8552F5"/>
    <w:rsid w:val="15AC7766"/>
    <w:rsid w:val="16146397"/>
    <w:rsid w:val="186A3CEA"/>
    <w:rsid w:val="18D453EC"/>
    <w:rsid w:val="1C422AA1"/>
    <w:rsid w:val="1E253203"/>
    <w:rsid w:val="245D69D7"/>
    <w:rsid w:val="25893A50"/>
    <w:rsid w:val="25F52A64"/>
    <w:rsid w:val="27673E35"/>
    <w:rsid w:val="27994F87"/>
    <w:rsid w:val="2B33252F"/>
    <w:rsid w:val="2D2307FE"/>
    <w:rsid w:val="301B0FF4"/>
    <w:rsid w:val="315A40C3"/>
    <w:rsid w:val="33C57AA9"/>
    <w:rsid w:val="34081208"/>
    <w:rsid w:val="35684269"/>
    <w:rsid w:val="362F0C05"/>
    <w:rsid w:val="36DA4BF1"/>
    <w:rsid w:val="3A4C2E2C"/>
    <w:rsid w:val="3B0A473E"/>
    <w:rsid w:val="3B196D9D"/>
    <w:rsid w:val="3EBD77EA"/>
    <w:rsid w:val="40296E63"/>
    <w:rsid w:val="426C3275"/>
    <w:rsid w:val="44935E12"/>
    <w:rsid w:val="4C0A4C0B"/>
    <w:rsid w:val="567579A5"/>
    <w:rsid w:val="59613991"/>
    <w:rsid w:val="5BF603EF"/>
    <w:rsid w:val="60AE3960"/>
    <w:rsid w:val="63896464"/>
    <w:rsid w:val="673F6082"/>
    <w:rsid w:val="6BB51C34"/>
    <w:rsid w:val="740C5924"/>
    <w:rsid w:val="75F45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880" w:firstLineChars="200"/>
      <w:jc w:val="left"/>
    </w:pPr>
    <w:rPr>
      <w:rFonts w:ascii="Calibri" w:hAnsi="Calibri" w:eastAsia="仿宋_GB2312" w:cs="Times New Roman"/>
      <w:kern w:val="2"/>
      <w:sz w:val="32"/>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5">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943ec436-2738-4624-be2d-38604334d315</errorID>
      <errorWord>)</errorWord>
      <group>L1_AI</group>
      <groupName>深度校对</groupName>
      <ability>L2_AI_Punc</ability>
      <abilityName>标点纠错</abilityName>
      <candidateList>
        <item>）</item>
      </candidateList>
      <explain/>
      <paraID>5B024E8D</paraID>
      <start>27</start>
      <end>28</end>
      <status>modified</status>
      <modifiedWord>）</modifiedWord>
      <trackRevisions>false</trackRevisions>
    </reviewItem>
    <reviewItem>
      <errorID>6d349848-d3c3-4c2f-8079-31e5d1fe4972</errorID>
      <errorWord>市政府</errorWord>
      <group>L1_AI</group>
      <groupName>深度校对</groupName>
      <ability>L2_AI_Punc</ability>
      <abilityName>标点纠错</abilityName>
      <candidateList>
        <item>、市政府</item>
      </candidateList>
      <explain/>
      <paraID>5B024E8D</paraID>
      <start>100</start>
      <end>103</end>
      <status>ignored</status>
      <modifiedWord/>
      <trackRevisions>false</trackRevisions>
    </reviewItem>
    <reviewItem>
      <errorID>f57c5f98-5723-4a3a-89c0-a90e3d958945</errorID>
      <errorWord>0759—5581988</errorWord>
      <group>L1_Punc</group>
      <groupName>标点问题</groupName>
      <ability>L2_Punc</ability>
      <abilityName>标点符号检查</abilityName>
      <candidateList>
        <item>0759-5581988</item>
      </candidateList>
      <explain>电话号码使用短横线。</explain>
      <paraID>5B024E8D</paraID>
      <start>310</start>
      <end>322</end>
      <status>modified</status>
      <modifiedWord>0759-5581988</modifiedWord>
      <trackRevisions>false</trackRevisions>
    </reviewItem>
    <reviewItem>
      <errorID>10a459f3-6819-4574-b5ee-d6d327431333</errorID>
      <errorWord>,</errorWord>
      <group>L1_Format</group>
      <groupName>格式问题</groupName>
      <ability>L2_HalfPunc</ability>
      <abilityName>全半角检查</abilityName>
      <candidateList>
        <item>，</item>
      </candidateList>
      <explain>文本全半角错误。</explain>
      <paraID> 44E5627</paraID>
      <start>47</start>
      <end>48</end>
      <status>modified</status>
      <modifiedWord>，</modifiedWord>
      <trackRevisions>false</trackRevisions>
    </reviewItem>
    <reviewItem>
      <errorID>8a3fc409-266d-4f32-9814-4c428e7b2aeb</errorID>
      <errorWord>制定计划</errorWord>
      <group>L1_Knowledge</group>
      <groupName>知识性问题</groupName>
      <ability>L2_Knowledge</ability>
      <abilityName>其他知识</abilityName>
      <candidateList>
        <item>制订计划</item>
      </candidateList>
      <explain/>
      <paraID> 44E5627</paraID>
      <start>101</start>
      <end>105</end>
      <status>modified</status>
      <modifiedWord>制订计划</modifiedWord>
      <trackRevisions>false</trackRevisions>
    </reviewItem>
    <reviewItem>
      <errorID>a0453187-d4a7-43f2-ad60-45c53fb43397</errorID>
      <errorWord>以及</errorWord>
      <group>L1_AI</group>
      <groupName>深度校对</groupName>
      <ability>L2_AI_Grammar</ability>
      <abilityName>语法纠错</abilityName>
      <candidateList>
        <item>报告，并</item>
      </candidateList>
      <explain/>
      <paraID>61CC5B86</paraID>
      <start>46</start>
      <end>48</end>
      <status>ignored</status>
      <modifiedWord/>
      <trackRevisions>false</trackRevisions>
    </reviewItem>
    <reviewItem>
      <errorID>5b88798f-e2a8-40fb-a8b3-85df1b94f048</errorID>
      <errorWord>处理</errorWord>
      <group>L1_Word</group>
      <groupName>字词问题</groupName>
      <ability>L2_Typo</ability>
      <abilityName>字词错误</abilityName>
      <candidateList>
        <item>受理</item>
      </candidateList>
      <explain/>
      <paraID>3F57FABD</paraID>
      <start>22</start>
      <end>24</end>
      <status>ignored</status>
      <modifiedWord/>
      <trackRevisions>false</trackRevisions>
    </reviewItem>
    <reviewItem>
      <errorID>e3f53ca7-5857-4d3a-a123-f889ea949abc</errorID>
      <errorWord>处理</errorWord>
      <group>L1_Word</group>
      <groupName>字词问题</groupName>
      <ability>L2_Typo</ability>
      <abilityName>字词错误</abilityName>
      <candidateList>
        <item>受理</item>
      </candidateList>
      <explain/>
      <paraID>1DFA42C3</paraID>
      <start>26</start>
      <end>28</end>
      <status>ignored</status>
      <modifiedWord/>
      <trackRevisions>false</trackRevisions>
    </reviewItem>
    <reviewItem>
      <errorID>9851be47-ba8e-4551-a2d0-d84b908fab56</errorID>
      <errorWord>深化</errorWord>
      <group>L1_AI</group>
      <groupName>深度校对</groupName>
      <ability>L2_AI_Word</ability>
      <abilityName>字词纠错</abilityName>
      <candidateList>
        <item>和深化</item>
      </candidateList>
      <explain/>
      <paraID>219DDF70</paraID>
      <start>4</start>
      <end>7</end>
      <status>modified</status>
      <modifiedWord>和深化</modifiedWord>
      <trackRevisions>false</trackRevisions>
    </reviewItem>
    <reviewItem>
      <errorID>655430da-5d29-4597-9dc9-4818a664efd1</errorID>
      <errorWord>和</errorWord>
      <group>L1_AI</group>
      <groupName>深度校对</groupName>
      <ability>L2_AI_Word</ability>
      <abilityName>字词纠错</abilityName>
      <candidateList>
        <item>，</item>
      </candidateList>
      <explain/>
      <paraID>219DDF70</paraID>
      <start>15</start>
      <end>16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6fc6d22-86bb-4605-8f6e-8e5f5a103e78}">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2515</Words>
  <Characters>2610</Characters>
  <Lines>0</Lines>
  <Paragraphs>0</Paragraphs>
  <TotalTime>91</TotalTime>
  <ScaleCrop>false</ScaleCrop>
  <LinksUpToDate>false</LinksUpToDate>
  <CharactersWithSpaces>2617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2024-01-16T01:44:00Z</dcterms:created>
  <dc:creator>小婷</dc:creator>
  <cp:lastModifiedBy>小婷</cp:lastModifiedBy>
  <dcterms:modified xsi:type="dcterms:W3CDTF">2026-01-16T04:05:01Z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DD50ADB468D044EC83D35FA67D4C7122_11</vt:lpwstr>
  </property>
  <property fmtid="{D5CDD505-2E9C-101B-9397-08002B2CF9AE}" pid="4" name="KSOTemplateDocerSaveRecord">
    <vt:lpwstr>eyJoZGlkIjoiY2Q5YjVhMmJmNDllNjQ4ZDRhZGFkMjY0Y2Q1Y2I1ZjAiLCJ1c2VySWQiOiIzMjI2NDA4MTEifQ==</vt:lpwstr>
  </property>
</Properties>
</file>