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61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A783C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89656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吴川市农业农村局2025年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政府信息公开</w:t>
      </w:r>
    </w:p>
    <w:p w14:paraId="6A973D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工作年度报告</w:t>
      </w:r>
    </w:p>
    <w:p w14:paraId="58A917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83BB1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根据《中华人民共和国政府信息公开条例》《国务院办公厅政府信息与政务公开办公室关于印发&lt;中华人民共和国政府信息公开工作年度报告格式&gt;的通知》（国办公开办函〔2021〕30号）及省、湛江、吴川市的有关规定，现公布吴川市农业农村局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年政府信息公开工作年度报告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内容为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年1月1日至202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年12月31日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吴川市农业农村局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政府信息公开工作情况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具体如下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2DBEB38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yellow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总体情况</w:t>
      </w:r>
    </w:p>
    <w:p w14:paraId="20A0A0C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yellow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（一）主动公开情况</w:t>
      </w:r>
    </w:p>
    <w:p w14:paraId="38A84A1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yellow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年，我局严格按照《中华人民共和国政府信息公开条例》有关要求，坚决贯彻落实市委、市政府的各项重大决策部署和要求，结合农业农村局工作职责，明确政务信息公开工作任务，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截至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年12月31日，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吴川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市农业农村局通过政府信息公开目录主动公开政府信息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条，其中：组织机构类信息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条；部门文件类信息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条；工作动态类信息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条；财政预决算类信息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条；政府信息公开工作年度报告1条。“行政执法”栏目定向链接到广东省政务服务网。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“办事指南”栏目定向链接到广东省政务服务网吴川市农业农村局网上服务窗口。</w:t>
      </w:r>
    </w:p>
    <w:p w14:paraId="735555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（二）依申请公开情况</w:t>
      </w:r>
    </w:p>
    <w:p w14:paraId="75EAD52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年以来，我局高度重视依申请公开工作，坚持依法规范办理。我局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年收到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依申请公开件，已及时办结。所有依申请公开信息均按照相关规定建立了公开申请办理台账，依申请公开答复率、答复及时率、录入及时率达到100%。</w:t>
      </w:r>
    </w:p>
    <w:p w14:paraId="51F9AD1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（三）政府信息管理情况</w:t>
      </w:r>
    </w:p>
    <w:p w14:paraId="7A8A98B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一是按照市政府信息公开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，及时修订政府信息公开指南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和制定政府信息公开工作年度报告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并及时发布，更好地满足公众需求。二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是加强政府网站管理，建立健全政府网站网络意识形态等制度，认真做好政策解读工作，推进政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务公开平台规范化。</w:t>
      </w:r>
    </w:p>
    <w:p w14:paraId="17CFEB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（四）监督保障情况</w:t>
      </w:r>
    </w:p>
    <w:p w14:paraId="6E90DE6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根据市委、市政府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要求，定期对照监督检查，及时发现政务公开工作存在的问题并限期整改，保障政府信息公开不出现网络安全事故、严重表述错误等问题。</w:t>
      </w:r>
    </w:p>
    <w:p w14:paraId="3052DC6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yellow"/>
          <w:shd w:val="clear" w:fill="FFFFFF"/>
          <w14:textFill>
            <w14:solidFill>
              <w14:schemeClr w14:val="tx1"/>
            </w14:solidFill>
          </w14:textFill>
        </w:rPr>
      </w:pPr>
    </w:p>
    <w:p w14:paraId="506CE58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yellow"/>
          <w:shd w:val="clear" w:fill="FFFFFF"/>
          <w14:textFill>
            <w14:solidFill>
              <w14:schemeClr w14:val="tx1"/>
            </w14:solidFill>
          </w14:textFill>
        </w:rPr>
      </w:pPr>
    </w:p>
    <w:p w14:paraId="1B0360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36" w:firstLineChars="199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5"/>
        <w:tblW w:w="8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435"/>
        <w:gridCol w:w="2435"/>
        <w:gridCol w:w="2048"/>
      </w:tblGrid>
      <w:tr w14:paraId="65557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DE7E3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080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E0B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0A4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304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F29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2C5E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90E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6D7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3DF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54F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255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69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BA4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D6D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07B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963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383A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35CE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C58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C9C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24FD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6E43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D2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</w:tr>
      <w:tr w14:paraId="3135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49A90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039F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906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C4F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0CCD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8BC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FD4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</w:tr>
      <w:tr w14:paraId="48A7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AB0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C93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629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2484F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3362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3217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BB8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3589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C1C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6F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15.0966.2</w:t>
            </w:r>
          </w:p>
        </w:tc>
      </w:tr>
    </w:tbl>
    <w:p w14:paraId="590BD4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color w:val="000000" w:themeColor="text1"/>
          <w:highlight w:val="yellow"/>
          <w14:textFill>
            <w14:solidFill>
              <w14:schemeClr w14:val="tx1"/>
            </w14:solidFill>
          </w14:textFill>
        </w:rPr>
      </w:pPr>
    </w:p>
    <w:p w14:paraId="6F6DFC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color w:val="000000" w:themeColor="text1"/>
          <w:highlight w:val="yellow"/>
          <w14:textFill>
            <w14:solidFill>
              <w14:schemeClr w14:val="tx1"/>
            </w14:solidFill>
          </w14:textFill>
        </w:rPr>
      </w:pPr>
    </w:p>
    <w:p w14:paraId="157794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color w:val="000000" w:themeColor="text1"/>
          <w:highlight w:val="yellow"/>
          <w14:textFill>
            <w14:solidFill>
              <w14:schemeClr w14:val="tx1"/>
            </w14:solidFill>
          </w14:textFill>
        </w:rPr>
      </w:pPr>
    </w:p>
    <w:p w14:paraId="1BF16B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color w:val="000000" w:themeColor="text1"/>
          <w:highlight w:val="yellow"/>
          <w14:textFill>
            <w14:solidFill>
              <w14:schemeClr w14:val="tx1"/>
            </w14:solidFill>
          </w14:textFill>
        </w:rPr>
      </w:pPr>
    </w:p>
    <w:p w14:paraId="05E9F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left"/>
        <w:textAlignment w:val="auto"/>
        <w:rPr>
          <w:color w:val="000000" w:themeColor="text1"/>
          <w:highlight w:val="yellow"/>
          <w14:textFill>
            <w14:solidFill>
              <w14:schemeClr w14:val="tx1"/>
            </w14:solidFill>
          </w14:textFill>
        </w:rPr>
      </w:pPr>
    </w:p>
    <w:p w14:paraId="1D94560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0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954"/>
        <w:gridCol w:w="2939"/>
        <w:gridCol w:w="637"/>
        <w:gridCol w:w="637"/>
        <w:gridCol w:w="637"/>
        <w:gridCol w:w="637"/>
        <w:gridCol w:w="637"/>
        <w:gridCol w:w="641"/>
        <w:gridCol w:w="640"/>
      </w:tblGrid>
      <w:tr w14:paraId="2196FE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45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223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4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13F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4C14E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45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EC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2CC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2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3D7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E6BE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7F941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45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83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B3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8BD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3D1B13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A2A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25FECC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004D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7E4E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745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D6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340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45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AE7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6E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E7A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184D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ECC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58D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045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13A1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6A059B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45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9A7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4EC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377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A462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F82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F9B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382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34CE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6C43DC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72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AF6A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9EBA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4E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9AA6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01F8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1FE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33D7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F26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A7D3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6BCB5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65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615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520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200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65B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C36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16F8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706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416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74E063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3A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CC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BC65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E0E5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5C51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1A92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D105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7EF5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7734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7976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D2E8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D75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F6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E8DD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F7F0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2A17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DEC7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F720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4311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5EA0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B67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3D2EC1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A0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CD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5A03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05BD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5B27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766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2B29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0115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8A06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A202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EE06D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35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15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05B4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05C8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E869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45C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9211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0DE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8CC8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4A7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1F0BE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1D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7D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B62A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98C9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9431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4157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7473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5127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9A5C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C6DE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15F52D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37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FD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5C9C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F86F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4B52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09AC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9A4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4A18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590F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E676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094897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2B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BF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579E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D392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C3FC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9EF7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37B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01F3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491E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5DC3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6EBB1C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251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39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D14D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700F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7595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9A1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43A4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B5F0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0B00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53C2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FFDF2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DA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92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648C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4EF0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297B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62B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696F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0EAB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A175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BD09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038BB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0E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8E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79A8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4B2C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729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F31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EB90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6C2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00D6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09E1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11CC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53C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28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BD2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5D1F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7309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941F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4E56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E5D8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9E0E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62B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 w14:paraId="5C6105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DF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ED14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2146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2A75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F20D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D010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1D59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98D8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2CF1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5216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 w14:paraId="2395B1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53F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87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2B6B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7F2C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9059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56DF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4D7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2D94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E7F2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5741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6D63AF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F6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37F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A1E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34E4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C69F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2D80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CE32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B284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D4CF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4CDF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2E9785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5A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A5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F00B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75C7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8170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C14A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3D12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176D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DB7B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CDD5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4110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84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E0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45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DF38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7F28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CE2E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58E6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8AEA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F764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08B5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72C7A8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829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CB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14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DD6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2CB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2875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214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636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6C4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08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63BDB3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DB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87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7A5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153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A23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67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FD08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CC7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44E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7AD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285562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A5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AD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EA5B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F31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F219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F5D4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017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BF5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358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4D43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</w:tr>
      <w:tr w14:paraId="7B1E60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72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28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24D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576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39E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D08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2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083A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8FB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8A50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4BBE84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45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4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359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6BF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32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29A6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6C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27B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A16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7D2674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yellow"/>
          <w:shd w:val="clear" w:fill="FFFFFF"/>
          <w14:textFill>
            <w14:solidFill>
              <w14:schemeClr w14:val="tx1"/>
            </w14:solidFill>
          </w14:textFill>
        </w:rPr>
      </w:pPr>
    </w:p>
    <w:p w14:paraId="014813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 w14:paraId="7DF6DD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2848D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E3C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4E8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7AACA5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8AD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81C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EFC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460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7C4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C01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DE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78064C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60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3F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65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DB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02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textAlignment w:val="auto"/>
              <w:rPr>
                <w:rFonts w:hint="eastAsia" w:asci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C2E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57F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911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BA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D0E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197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75AC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E53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C46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867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576911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A13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E04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1F4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E7B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rFonts w:hint="eastAsia" w:eastAsia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2EF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99B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9D7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B70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966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C2A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66E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rFonts w:hint="default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A73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F8E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7B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/>
              <w:jc w:val="center"/>
              <w:textAlignment w:val="auto"/>
              <w:rPr>
                <w:rFonts w:hint="default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67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Chars="0"/>
              <w:jc w:val="center"/>
              <w:textAlignment w:val="auto"/>
              <w:rPr>
                <w:rFonts w:hint="eastAsia" w:ascii="宋体" w:eastAsia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7B7C05B2">
      <w:pPr>
        <w:bidi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12DE0AD">
      <w:pPr>
        <w:bidi w:val="0"/>
        <w:ind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7E9484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年，我局在政府信息公开工作方面取得了一定的成绩，但对照全面推进政务公开的要求和人民群众对政府信息公开的期待，仍然存在不足之处：政府信息公开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广度深度不够。</w:t>
      </w:r>
    </w:p>
    <w:p w14:paraId="0CB2D5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年，我局将继续结合自身职能，全面落实市委、市政府对信息公开工作的要求，继续深化政府信息公开工作、丰富公开方式、提升公开实效，推动全局政府信息公开工作迈上新台阶。</w:t>
      </w:r>
    </w:p>
    <w:p w14:paraId="3BA2663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加强平台建设。加大主动公开力度，进一步加强政府网站信息发布管理，确保信息公开及时、有效。</w:t>
      </w:r>
    </w:p>
    <w:p w14:paraId="1507C2A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完善政府信息公开保密审查机制。在政府信息公开内容审核过程中，加强对文稿公开属性及保密审查，确保政府信息公开安全。</w:t>
      </w:r>
    </w:p>
    <w:p w14:paraId="4114940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加强培训学习。进一步提高政府信息公开工作人员业务技能，深入学习政府信息公开有关文件精神，积极参与市召开的职能部门政务信息公开工作培训会议，提升政务公开工作水平。</w:t>
      </w:r>
    </w:p>
    <w:p w14:paraId="725717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 w14:paraId="0079DE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收取信息处理费的情况：本年度无发出收费通知事项，无收取信息处理费用情况。</w:t>
      </w:r>
    </w:p>
    <w:p w14:paraId="7868C8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0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eastAsia="zh-CN"/>
        </w:rPr>
      </w:pPr>
    </w:p>
    <w:p w14:paraId="1E0A79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0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eastAsia="zh-CN"/>
        </w:rPr>
      </w:pPr>
    </w:p>
    <w:p w14:paraId="0409FB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吴川市农业农村局</w:t>
      </w:r>
    </w:p>
    <w:p w14:paraId="126522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120" w:firstLineChars="16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2025年1月14日</w:t>
      </w:r>
    </w:p>
    <w:p w14:paraId="00720D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0CA603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0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eastAsia="zh-CN"/>
        </w:rPr>
      </w:pPr>
    </w:p>
    <w:p w14:paraId="5B373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highlight w:val="yellow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C14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DC40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7DC400"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C0BFA"/>
    <w:multiLevelType w:val="singleLevel"/>
    <w:tmpl w:val="F79C0BFA"/>
    <w:lvl w:ilvl="0" w:tentative="0">
      <w:start w:val="1"/>
      <w:numFmt w:val="chineseCounting"/>
      <w:suff w:val="nothing"/>
      <w:lvlText w:val="（%1）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MTQ2NjdjODU5NjlmOTAxYTQwYWUzZTg1ZWNmZTgifQ=="/>
  </w:docVars>
  <w:rsids>
    <w:rsidRoot w:val="00000000"/>
    <w:rsid w:val="00B46918"/>
    <w:rsid w:val="00E03C25"/>
    <w:rsid w:val="02BA5D3C"/>
    <w:rsid w:val="03035935"/>
    <w:rsid w:val="03A24C00"/>
    <w:rsid w:val="03E30DBA"/>
    <w:rsid w:val="04226146"/>
    <w:rsid w:val="05FA300A"/>
    <w:rsid w:val="099D6B31"/>
    <w:rsid w:val="0A5D1DCF"/>
    <w:rsid w:val="0AC27E84"/>
    <w:rsid w:val="0D5D297B"/>
    <w:rsid w:val="0DAB2E51"/>
    <w:rsid w:val="0ED016DA"/>
    <w:rsid w:val="0FE10DAC"/>
    <w:rsid w:val="10DD42B5"/>
    <w:rsid w:val="12FA679C"/>
    <w:rsid w:val="13F05A62"/>
    <w:rsid w:val="14B8767F"/>
    <w:rsid w:val="15292AB6"/>
    <w:rsid w:val="18482169"/>
    <w:rsid w:val="18A61E00"/>
    <w:rsid w:val="191C2E55"/>
    <w:rsid w:val="1B861628"/>
    <w:rsid w:val="1BB62A4B"/>
    <w:rsid w:val="1BCD0437"/>
    <w:rsid w:val="1D2312B8"/>
    <w:rsid w:val="1D24052A"/>
    <w:rsid w:val="1F1D4833"/>
    <w:rsid w:val="22B20386"/>
    <w:rsid w:val="22C8070E"/>
    <w:rsid w:val="22D32262"/>
    <w:rsid w:val="22E31A52"/>
    <w:rsid w:val="24B92881"/>
    <w:rsid w:val="278D24A1"/>
    <w:rsid w:val="28345D7E"/>
    <w:rsid w:val="286162A6"/>
    <w:rsid w:val="28685782"/>
    <w:rsid w:val="291A3CFB"/>
    <w:rsid w:val="29CA2459"/>
    <w:rsid w:val="2A9D36CA"/>
    <w:rsid w:val="2B163BA8"/>
    <w:rsid w:val="2B45448D"/>
    <w:rsid w:val="2B812B79"/>
    <w:rsid w:val="2C7F78C2"/>
    <w:rsid w:val="2F9257C7"/>
    <w:rsid w:val="30093CDB"/>
    <w:rsid w:val="30136908"/>
    <w:rsid w:val="317762EE"/>
    <w:rsid w:val="31794E91"/>
    <w:rsid w:val="330D6822"/>
    <w:rsid w:val="34D16D92"/>
    <w:rsid w:val="357E2F58"/>
    <w:rsid w:val="359A5BA5"/>
    <w:rsid w:val="35CF0223"/>
    <w:rsid w:val="35EB5C31"/>
    <w:rsid w:val="36ED3E82"/>
    <w:rsid w:val="36F723C1"/>
    <w:rsid w:val="383E1F07"/>
    <w:rsid w:val="386E44F6"/>
    <w:rsid w:val="3A1F40FB"/>
    <w:rsid w:val="3BE7515F"/>
    <w:rsid w:val="3C400D78"/>
    <w:rsid w:val="3D603237"/>
    <w:rsid w:val="3DB94B4C"/>
    <w:rsid w:val="3DB97487"/>
    <w:rsid w:val="3F2D18B9"/>
    <w:rsid w:val="3F4563B2"/>
    <w:rsid w:val="40AD420F"/>
    <w:rsid w:val="41A97EC4"/>
    <w:rsid w:val="44013125"/>
    <w:rsid w:val="45983579"/>
    <w:rsid w:val="46E0403D"/>
    <w:rsid w:val="49FD3A6B"/>
    <w:rsid w:val="4A5E1171"/>
    <w:rsid w:val="4ADB7BCB"/>
    <w:rsid w:val="4B18668A"/>
    <w:rsid w:val="4B644064"/>
    <w:rsid w:val="4C831D18"/>
    <w:rsid w:val="4D543B04"/>
    <w:rsid w:val="4DAC4372"/>
    <w:rsid w:val="4FBC53FA"/>
    <w:rsid w:val="511D2CEB"/>
    <w:rsid w:val="51426BF5"/>
    <w:rsid w:val="5251600F"/>
    <w:rsid w:val="537D2167"/>
    <w:rsid w:val="5467032C"/>
    <w:rsid w:val="55336DD9"/>
    <w:rsid w:val="562A14DA"/>
    <w:rsid w:val="57F347A6"/>
    <w:rsid w:val="5A8475DB"/>
    <w:rsid w:val="5B6237DD"/>
    <w:rsid w:val="5BF907F8"/>
    <w:rsid w:val="5C3F445D"/>
    <w:rsid w:val="5D616655"/>
    <w:rsid w:val="5DCD3CEB"/>
    <w:rsid w:val="5DE651E5"/>
    <w:rsid w:val="5E573E48"/>
    <w:rsid w:val="5F1F012C"/>
    <w:rsid w:val="612B6616"/>
    <w:rsid w:val="637075F2"/>
    <w:rsid w:val="653667D3"/>
    <w:rsid w:val="67513297"/>
    <w:rsid w:val="67B83777"/>
    <w:rsid w:val="687F5BE1"/>
    <w:rsid w:val="69B0699A"/>
    <w:rsid w:val="6B5C79E1"/>
    <w:rsid w:val="6BDB60ED"/>
    <w:rsid w:val="6C0D7DF7"/>
    <w:rsid w:val="6C530C66"/>
    <w:rsid w:val="6D0448B3"/>
    <w:rsid w:val="6D0668D1"/>
    <w:rsid w:val="6D8C5028"/>
    <w:rsid w:val="6E091601"/>
    <w:rsid w:val="6F0873EA"/>
    <w:rsid w:val="70E61BF2"/>
    <w:rsid w:val="720D24B0"/>
    <w:rsid w:val="720F2B1B"/>
    <w:rsid w:val="722E4900"/>
    <w:rsid w:val="73944C37"/>
    <w:rsid w:val="74B9078A"/>
    <w:rsid w:val="74FE5218"/>
    <w:rsid w:val="750F2DDC"/>
    <w:rsid w:val="76D96E05"/>
    <w:rsid w:val="784441FF"/>
    <w:rsid w:val="7849718A"/>
    <w:rsid w:val="79872E53"/>
    <w:rsid w:val="7A30625E"/>
    <w:rsid w:val="7A7B0D19"/>
    <w:rsid w:val="7BFC2E97"/>
    <w:rsid w:val="7C953391"/>
    <w:rsid w:val="7CC145C3"/>
    <w:rsid w:val="7CC92281"/>
    <w:rsid w:val="7E49506C"/>
    <w:rsid w:val="7E926217"/>
    <w:rsid w:val="7EE230FA"/>
    <w:rsid w:val="7EFD50E8"/>
    <w:rsid w:val="7F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965</Words>
  <Characters>1012</Characters>
  <Lines>0</Lines>
  <Paragraphs>0</Paragraphs>
  <TotalTime>138</TotalTime>
  <ScaleCrop>false</ScaleCrop>
  <LinksUpToDate>false</LinksUpToDate>
  <CharactersWithSpaces>1012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2024-01-18T01:33:00Z</dcterms:created>
  <dc:creator>lenovo</dc:creator>
  <cp:lastModifiedBy>山坡羊</cp:lastModifiedBy>
  <cp:lastPrinted>2025-01-14T01:19:00Z</cp:lastPrinted>
  <dcterms:modified xsi:type="dcterms:W3CDTF">2026-01-13T07:57:40Z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A0F6059BEEEC4AA484A74D5EB0E94F57_13</vt:lpwstr>
  </property>
  <property fmtid="{D5CDD505-2E9C-101B-9397-08002B2CF9AE}" pid="4" name="KSOTemplateDocerSaveRecord">
    <vt:lpwstr>eyJoZGlkIjoiNDIxNTcwY2Q2MWM1Y2MzZmRkMWYzOTkzMzQ3NTdhMDkiLCJ1c2VySWQiOiI1NTUwOTM1NTIifQ==</vt:lpwstr>
  </property>
</Properties>
</file>