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EDA7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吴川市科工贸和信息化局202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1BF539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14:paraId="5B024E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华人民共和国政府信息公开条例》（国令第711号)（以下简称《条例》）、《国务院办公厅政府信息与政务公开办公室关于政府信息公开工作年度报告有关事项的通知》（国办公开办函〔2019〕60号）及市委市政府的要求，现公布吴川市科工贸和信息化局20</w:t>
      </w:r>
      <w:r>
        <w:rPr>
          <w:rFonts w:hint="eastAsia" w:ascii="仿宋_GB2312" w:hAnsi="仿宋_GB2312" w:cs="仿宋_GB2312"/>
          <w:i w:val="0"/>
          <w:caps w:val="0"/>
          <w:color w:val="000000"/>
          <w:spacing w:val="0"/>
          <w:kern w:val="0"/>
          <w:sz w:val="32"/>
          <w:szCs w:val="32"/>
          <w:shd w:val="clear" w:fill="FFFFFF"/>
          <w:lang w:val="en-US" w:eastAsia="zh-CN" w:bidi="ar"/>
        </w:rPr>
        <w:t>24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年政府信息公开工作年度报告。报告包括202</w:t>
      </w:r>
      <w:r>
        <w:rPr>
          <w:rFonts w:hint="eastAsia" w:ascii="仿宋_GB2312" w:hAnsi="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年1月1日至202</w:t>
      </w:r>
      <w:r>
        <w:rPr>
          <w:rFonts w:hint="eastAsia" w:ascii="仿宋_GB2312" w:hAnsi="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12月31日政府信息公开工作总体情况、主动公开、依申请公开、政府信息公开行政复议和行政诉讼、存在问题及改进措施等内容。本报告主要通过吴川市人民政府门户网站（https://www.gdwc.gov.cn/）公布，如对本报告有疑问，请与局办公室联系（地址：吴川市解放中路148号，邮编：524500，电话：0759—5581988）。</w:t>
      </w:r>
    </w:p>
    <w:p w14:paraId="6158AF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b/>
          <w:i w:val="0"/>
          <w:caps w:val="0"/>
          <w:color w:val="000000"/>
          <w:spacing w:val="0"/>
          <w:kern w:val="0"/>
          <w:sz w:val="28"/>
          <w:szCs w:val="28"/>
          <w:shd w:val="clear" w:fill="FFFFFF"/>
          <w:lang w:val="en-US" w:eastAsia="zh-CN" w:bidi="ar"/>
        </w:rPr>
        <w:t>一、</w:t>
      </w:r>
      <w:r>
        <w:rPr>
          <w:rFonts w:hint="eastAsia" w:ascii="黑体" w:hAnsi="黑体" w:eastAsia="黑体" w:cs="黑体"/>
          <w:b w:val="0"/>
          <w:i w:val="0"/>
          <w:caps w:val="0"/>
          <w:color w:val="000000"/>
          <w:spacing w:val="0"/>
          <w:sz w:val="32"/>
          <w:szCs w:val="32"/>
          <w:shd w:val="clear" w:fill="FFFFFF"/>
        </w:rPr>
        <w:t>总体情况</w:t>
      </w:r>
    </w:p>
    <w:p w14:paraId="6BA4ED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14:paraId="044E5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室积极性，制定计划、落实责任、强化监督，保证了政府信息公开工作有条不紊推进。</w:t>
      </w:r>
    </w:p>
    <w:p w14:paraId="6E548B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（二）加强网络平台建设。在湛江市政府和吴川市政府门户网站分支下的我局网站上，及时全面发布国家、省、市和</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地方工信、商务和科技法规制度</w:t>
      </w:r>
      <w:r>
        <w:rPr>
          <w:rFonts w:hint="eastAsia" w:ascii="仿宋_GB2312" w:hAnsi="仿宋_GB2312" w:eastAsia="仿宋_GB2312" w:cs="仿宋_GB2312"/>
          <w:i w:val="0"/>
          <w:caps w:val="0"/>
          <w:color w:val="000000"/>
          <w:spacing w:val="0"/>
          <w:kern w:val="0"/>
          <w:sz w:val="32"/>
          <w:szCs w:val="32"/>
          <w:shd w:val="clear" w:fill="FFFFFF"/>
          <w:lang w:val="en-US" w:eastAsia="zh-CN" w:bidi="ar"/>
        </w:rPr>
        <w:t>、政策措施、工作动态等各类信息，为公众了解我</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市科技、工信、商务、投资促进工作动态提供方</w:t>
      </w:r>
      <w:r>
        <w:rPr>
          <w:rFonts w:hint="eastAsia" w:ascii="仿宋_GB2312" w:hAnsi="仿宋_GB2312" w:eastAsia="仿宋_GB2312" w:cs="仿宋_GB2312"/>
          <w:i w:val="0"/>
          <w:caps w:val="0"/>
          <w:color w:val="000000"/>
          <w:spacing w:val="0"/>
          <w:kern w:val="0"/>
          <w:sz w:val="32"/>
          <w:szCs w:val="32"/>
          <w:shd w:val="clear" w:fill="FFFFFF"/>
          <w:lang w:val="en-US" w:eastAsia="zh-CN" w:bidi="ar"/>
        </w:rPr>
        <w:t>便。同时，公布了办理程序、依据、条件、时限及联系方式等，方便企事业单位和群众办事。</w:t>
      </w:r>
    </w:p>
    <w:p w14:paraId="61CC5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（三）拓展渠道，确保公众方便及时获取公开信息。定期发布吴川市工业商贸运行态势、行业动态等分析以及提供政策信息指导服务。</w:t>
      </w:r>
    </w:p>
    <w:p w14:paraId="1961E9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（四）强化指导，不断完善政府信息公开保障和激励机制。按照市政府信息公开工作要求，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组织各股室信息员进行了业务培训</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，加强对政府信息公开工作的指导，并纳入局优秀股室评选考核内容，有效调动了局政府信息公开工作的积极性。</w:t>
      </w:r>
    </w:p>
    <w:p w14:paraId="647EF6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微软雅黑" w:eastAsia="仿宋_GB2312" w:cs="仿宋_GB2312"/>
          <w:b/>
          <w:i w:val="0"/>
          <w:caps w:val="0"/>
          <w:color w:val="auto"/>
          <w:spacing w:val="0"/>
          <w:kern w:val="0"/>
          <w:sz w:val="28"/>
          <w:szCs w:val="28"/>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p w14:paraId="0977D207">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我局主要通过局网站、报刊等方式主动公开我局的政府信息。202</w:t>
      </w:r>
      <w:r>
        <w:rPr>
          <w:rFonts w:hint="eastAsia" w:ascii="仿宋_GB2312" w:hAnsi="微软雅黑" w:cs="仿宋_GB2312"/>
          <w:i w:val="0"/>
          <w:caps w:val="0"/>
          <w:color w:val="000000"/>
          <w:spacing w:val="0"/>
          <w:kern w:val="0"/>
          <w:sz w:val="32"/>
          <w:szCs w:val="32"/>
          <w:shd w:val="clear" w:fill="FFFFFF"/>
          <w:lang w:val="en-US" w:eastAsia="zh-CN" w:bidi="ar"/>
        </w:rPr>
        <w:t>4</w:t>
      </w:r>
      <w:r>
        <w:rPr>
          <w:rFonts w:hint="eastAsia" w:ascii="仿宋_GB2312" w:hAnsi="微软雅黑" w:eastAsia="仿宋_GB2312" w:cs="仿宋_GB2312"/>
          <w:i w:val="0"/>
          <w:caps w:val="0"/>
          <w:color w:val="000000"/>
          <w:spacing w:val="0"/>
          <w:kern w:val="0"/>
          <w:sz w:val="32"/>
          <w:szCs w:val="32"/>
          <w:shd w:val="clear" w:fill="FFFFFF"/>
          <w:lang w:val="en-US" w:eastAsia="zh-CN" w:bidi="ar"/>
        </w:rPr>
        <w:t>年，我局在湛江市政府网站和吴川市政府网站下分支的网站发布机构职能、领导分工、公开指南、办事指南、工作动态、财政预决算</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、信息公开年度报告等专栏信息共</w:t>
      </w:r>
      <w:r>
        <w:rPr>
          <w:rFonts w:hint="eastAsia" w:ascii="仿宋_GB2312" w:hAnsi="微软雅黑" w:cs="仿宋_GB2312"/>
          <w:i w:val="0"/>
          <w:caps w:val="0"/>
          <w:color w:val="auto"/>
          <w:spacing w:val="0"/>
          <w:kern w:val="0"/>
          <w:sz w:val="32"/>
          <w:szCs w:val="32"/>
          <w:highlight w:val="none"/>
          <w:shd w:val="clear" w:fill="FFFFFF"/>
          <w:lang w:val="en-US" w:eastAsia="zh-CN" w:bidi="ar"/>
        </w:rPr>
        <w:t>95</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条。全年没有公共资源交易、重大建设项目批准和实施、公益事业建设等重点领域情况。</w:t>
      </w:r>
    </w:p>
    <w:tbl>
      <w:tblPr>
        <w:tblStyle w:val="6"/>
        <w:tblW w:w="8140" w:type="dxa"/>
        <w:jc w:val="center"/>
        <w:tblLayout w:type="fixed"/>
        <w:tblCellMar>
          <w:top w:w="0" w:type="dxa"/>
          <w:left w:w="0" w:type="dxa"/>
          <w:bottom w:w="0" w:type="dxa"/>
          <w:right w:w="0" w:type="dxa"/>
        </w:tblCellMar>
      </w:tblPr>
      <w:tblGrid>
        <w:gridCol w:w="3113"/>
        <w:gridCol w:w="1869"/>
        <w:gridCol w:w="1277"/>
        <w:gridCol w:w="1881"/>
      </w:tblGrid>
      <w:tr w14:paraId="6F2836BA">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2B0456E2">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第二十条第（一）项</w:t>
            </w:r>
          </w:p>
        </w:tc>
      </w:tr>
      <w:tr w14:paraId="3D3A1090">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E532F1">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91479F">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制发件数</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3CF947">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废止件数</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290D580D">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现行有效件数</w:t>
            </w:r>
          </w:p>
        </w:tc>
      </w:tr>
      <w:tr w14:paraId="1E4110E4">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A52AD4">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14:paraId="328A2124">
            <w:pPr>
              <w:widowControl/>
              <w:spacing w:after="180" w:line="240" w:lineRule="auto"/>
              <w:ind w:firstLine="0" w:firstLineChars="0"/>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14:paraId="0E2925E0">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46A3EC81">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14:paraId="21D51F01">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D885B4">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14:paraId="0F206C5F">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14:paraId="4EFDE08A">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6C1BBE6A">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r>
      <w:tr w14:paraId="2AF5D2EB">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77DD28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第二十条第（五）项</w:t>
            </w:r>
          </w:p>
        </w:tc>
      </w:tr>
      <w:tr w14:paraId="132A26B1">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12064F">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618659">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本年处理决定数量</w:t>
            </w:r>
          </w:p>
        </w:tc>
      </w:tr>
      <w:tr w14:paraId="05442595">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A860C0">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行政许可</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72E944A2">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14:paraId="561FA505">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258635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第二十条第（六）项</w:t>
            </w:r>
          </w:p>
        </w:tc>
      </w:tr>
      <w:tr w14:paraId="15B5328F">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A460FA">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30D22E">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本年处理决定数量</w:t>
            </w:r>
          </w:p>
        </w:tc>
      </w:tr>
      <w:tr w14:paraId="5CEF3C84">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D0B8E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行政处罚</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3A85E14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14:paraId="4368E682">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9F3843">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行政强制</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096BBE3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14:paraId="01FFD77A">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2BD31A53">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第二十条第（八）项</w:t>
            </w:r>
          </w:p>
        </w:tc>
      </w:tr>
      <w:tr w14:paraId="7107C323">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A97A84">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14:paraId="7A23F92D">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本年收费金额（单位：万元）</w:t>
            </w:r>
          </w:p>
        </w:tc>
      </w:tr>
      <w:tr w14:paraId="104E16A6">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8F4C6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行政事业性收费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14:paraId="761859F0">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14:paraId="68482C71">
      <w:pPr>
        <w:pStyle w:val="5"/>
        <w:widowControl/>
        <w:shd w:val="clear" w:color="auto" w:fill="FFFFFF"/>
        <w:spacing w:beforeAutospacing="0" w:after="24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94"/>
        <w:gridCol w:w="678"/>
        <w:gridCol w:w="2086"/>
        <w:gridCol w:w="814"/>
        <w:gridCol w:w="755"/>
        <w:gridCol w:w="755"/>
        <w:gridCol w:w="814"/>
        <w:gridCol w:w="974"/>
        <w:gridCol w:w="712"/>
        <w:gridCol w:w="689"/>
      </w:tblGrid>
      <w:tr w14:paraId="0D20A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12088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ED7F1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申请人情况</w:t>
            </w:r>
          </w:p>
        </w:tc>
      </w:tr>
      <w:tr w14:paraId="6366BE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24EDFC">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0FBA29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6ADBE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77C25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总计</w:t>
            </w:r>
          </w:p>
        </w:tc>
      </w:tr>
      <w:tr w14:paraId="24A81A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DBA877">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3F5A100">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F4CA4C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0701D0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33B3F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8AE1D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8983B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8562A0">
            <w:pPr>
              <w:widowControl/>
              <w:spacing w:after="180" w:line="240" w:lineRule="auto"/>
              <w:ind w:firstLine="0" w:firstLineChars="0"/>
              <w:jc w:val="center"/>
              <w:rPr>
                <w:rFonts w:hint="eastAsia" w:ascii="仿宋_GB2312" w:hAnsi="仿宋_GB2312" w:eastAsia="仿宋_GB2312" w:cs="仿宋_GB2312"/>
                <w:kern w:val="0"/>
                <w:sz w:val="20"/>
                <w:szCs w:val="20"/>
              </w:rPr>
            </w:pPr>
          </w:p>
        </w:tc>
      </w:tr>
      <w:tr w14:paraId="1FAC3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E192B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1CE00B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D301C9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4FC478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8A4EAB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DA549A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341F597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68A78D8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24B076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13A8C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EA5D6C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FF905A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E03367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15A185D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6A4FB4D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683E45E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42BEF3C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6CCB92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0C998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三、本年度办理结果</w:t>
            </w: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DD31BC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BF899B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4946DC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6B5975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B77690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281954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5F7AAD0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C2FFC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5D4D3C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52161">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4AAE9D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1D5A89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5E2AF5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A8D12E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F9DE7D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6E67C95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46A1D61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64BA2E5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387F7A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9049CD">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CBAAAD1">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557C859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0E7E49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0CB373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214219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8B342A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4A7ECB2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084CD59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17E4D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7C977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9932AE">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9F9990C">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36D5454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4E190D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F21B16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66EC1D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3752AB9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66ED132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5FCDF27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0B646B0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456BCD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32EB58">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F109D2B">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5D8D348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F92445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209D42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FC68DF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50623A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19DA58D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2F4E109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063DA78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13825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9917B1">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01BAF6">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F50CBA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509137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5E9C1D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787432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332595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6C53BDF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5AFC888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1BAD687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5968C2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7BC158">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10E751F">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221BA7F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1B59698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917D3E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B3A6F4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F6284C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39F6C6B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01456BC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5D13168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4A7DF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92F8ED">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2C7779">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2952288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4737E5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D80310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F57470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B74C43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6D5F30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11FD754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68C13B4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0B998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CAAB63">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B6FD52B">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7A28B79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45CA90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B9E79D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E6DA9D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9A75CA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73684C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6736C5F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0B83591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69350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7E6F5E">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EB5DF55">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6A36A9E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6D6E83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CCA018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FFCB98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2F6DF3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5F25D67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225519B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353EC1A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13A46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CA9911">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A786B36">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F8CCD7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632F9A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3E506B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C9D0DE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249CDE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05F7F80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27AAD6D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0B77C60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3B3DD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9B6F49">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6A9093F">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7A896F0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3DDCE56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2029F3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D241AF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10380C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048A547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255C4F7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1269A5A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202FD3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81AC06">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0A2E4B0">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18F7566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35D1586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D0A6A5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E82FA0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3A753A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15E297C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37BBC7A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668B7A9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3EF73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9091A6">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7D2EA8C">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2A0B671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CF1440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CB8F19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41B921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7981A0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1BBF886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123A6A1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474E753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37D712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5A269A">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7F196B7">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9CD150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0B1650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F3EE50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F5638E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50E55A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05F1970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2F85108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51D02AC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3F4969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AD7FDE">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25F3104">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7E12C7D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87DF0C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B6C4D7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FF909B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52B5E0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41718F7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0E211A9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65F6510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0000A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1B3073">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08C29A4">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52DD2AA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41E682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CFE4FB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C1554AA">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1097AC0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5033103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6798BB5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26AE01D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02FF0B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8E17C6">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13A4F27">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90A897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88E9D34">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FD39D1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42B920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B766A4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AFC3013">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06D6DC6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705FDCD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6AB497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0F0C63">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right w:val="single" w:color="auto" w:sz="8" w:space="0"/>
            </w:tcBorders>
            <w:shd w:val="clear" w:color="auto" w:fill="auto"/>
            <w:tcMar>
              <w:left w:w="108" w:type="dxa"/>
              <w:right w:w="108" w:type="dxa"/>
            </w:tcMar>
            <w:vAlign w:val="center"/>
          </w:tcPr>
          <w:p w14:paraId="1F3C3B52">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（六）其他处理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3F57FABD">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1.申请人无正当理由逾期不补正、行政机关不再处理其政府信息公开申请</w:t>
            </w:r>
          </w:p>
        </w:tc>
        <w:tc>
          <w:tcPr>
            <w:tcW w:w="814" w:type="dxa"/>
            <w:tcBorders>
              <w:top w:val="nil"/>
              <w:left w:val="nil"/>
              <w:right w:val="single" w:color="auto" w:sz="8" w:space="0"/>
            </w:tcBorders>
            <w:shd w:val="clear" w:color="auto" w:fill="auto"/>
            <w:tcMar>
              <w:left w:w="108" w:type="dxa"/>
              <w:right w:w="108" w:type="dxa"/>
            </w:tcMar>
            <w:vAlign w:val="center"/>
          </w:tcPr>
          <w:p w14:paraId="3337051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14:paraId="5983ABC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14:paraId="576C515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right w:val="single" w:color="auto" w:sz="8" w:space="0"/>
            </w:tcBorders>
            <w:shd w:val="clear" w:color="auto" w:fill="auto"/>
            <w:tcMar>
              <w:left w:w="108" w:type="dxa"/>
              <w:right w:w="108" w:type="dxa"/>
            </w:tcMar>
            <w:vAlign w:val="center"/>
          </w:tcPr>
          <w:p w14:paraId="247545DB">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right w:val="single" w:color="auto" w:sz="8" w:space="0"/>
            </w:tcBorders>
            <w:shd w:val="clear" w:color="auto" w:fill="auto"/>
            <w:tcMar>
              <w:left w:w="108" w:type="dxa"/>
              <w:right w:w="108" w:type="dxa"/>
            </w:tcMar>
            <w:vAlign w:val="center"/>
          </w:tcPr>
          <w:p w14:paraId="7427E89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right w:val="single" w:color="auto" w:sz="8" w:space="0"/>
            </w:tcBorders>
            <w:shd w:val="clear" w:color="auto" w:fill="auto"/>
            <w:tcMar>
              <w:left w:w="108" w:type="dxa"/>
              <w:right w:w="108" w:type="dxa"/>
            </w:tcMar>
            <w:vAlign w:val="center"/>
          </w:tcPr>
          <w:p w14:paraId="275FACEC">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right w:val="single" w:color="auto" w:sz="8" w:space="0"/>
            </w:tcBorders>
            <w:shd w:val="clear" w:color="auto" w:fill="auto"/>
            <w:tcMar>
              <w:left w:w="108" w:type="dxa"/>
              <w:right w:w="108" w:type="dxa"/>
            </w:tcMar>
            <w:vAlign w:val="center"/>
          </w:tcPr>
          <w:p w14:paraId="08E7F8B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66C7F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7AAED9">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left w:val="nil"/>
              <w:right w:val="single" w:color="auto" w:sz="8" w:space="0"/>
            </w:tcBorders>
            <w:shd w:val="clear" w:color="auto" w:fill="auto"/>
            <w:tcMar>
              <w:left w:w="108" w:type="dxa"/>
              <w:right w:w="108" w:type="dxa"/>
            </w:tcMar>
            <w:vAlign w:val="center"/>
          </w:tcPr>
          <w:p w14:paraId="4246AFB2">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1DFA42C3">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2.申请人逾期未按收费通知要求缴纳费用、行政机关不再处理其政府信息公开申请</w:t>
            </w:r>
          </w:p>
        </w:tc>
        <w:tc>
          <w:tcPr>
            <w:tcW w:w="814" w:type="dxa"/>
            <w:tcBorders>
              <w:left w:val="nil"/>
              <w:right w:val="single" w:color="auto" w:sz="8" w:space="0"/>
            </w:tcBorders>
            <w:shd w:val="clear" w:color="auto" w:fill="auto"/>
            <w:tcMar>
              <w:left w:w="108" w:type="dxa"/>
              <w:right w:w="108" w:type="dxa"/>
            </w:tcMar>
            <w:vAlign w:val="center"/>
          </w:tcPr>
          <w:p w14:paraId="694C6FD6">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14:paraId="55B569B5">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14:paraId="0534558D">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right w:val="single" w:color="auto" w:sz="8" w:space="0"/>
            </w:tcBorders>
            <w:shd w:val="clear" w:color="auto" w:fill="auto"/>
            <w:tcMar>
              <w:left w:w="108" w:type="dxa"/>
              <w:right w:w="108" w:type="dxa"/>
            </w:tcMar>
            <w:vAlign w:val="center"/>
          </w:tcPr>
          <w:p w14:paraId="56C503DC">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right w:val="single" w:color="auto" w:sz="8" w:space="0"/>
            </w:tcBorders>
            <w:shd w:val="clear" w:color="auto" w:fill="auto"/>
            <w:tcMar>
              <w:left w:w="108" w:type="dxa"/>
              <w:right w:w="108" w:type="dxa"/>
            </w:tcMar>
            <w:vAlign w:val="center"/>
          </w:tcPr>
          <w:p w14:paraId="060B2390">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right w:val="single" w:color="auto" w:sz="8" w:space="0"/>
            </w:tcBorders>
            <w:shd w:val="clear" w:color="auto" w:fill="auto"/>
            <w:tcMar>
              <w:left w:w="108" w:type="dxa"/>
              <w:right w:w="108" w:type="dxa"/>
            </w:tcMar>
            <w:vAlign w:val="center"/>
          </w:tcPr>
          <w:p w14:paraId="40998A6B">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right w:val="single" w:color="auto" w:sz="8" w:space="0"/>
            </w:tcBorders>
            <w:shd w:val="clear" w:color="auto" w:fill="auto"/>
            <w:tcMar>
              <w:left w:w="108" w:type="dxa"/>
              <w:right w:w="108" w:type="dxa"/>
            </w:tcMar>
            <w:vAlign w:val="center"/>
          </w:tcPr>
          <w:p w14:paraId="49EE959A">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418FA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14:paraId="137D8B53">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left w:val="nil"/>
              <w:bottom w:val="single" w:color="auto" w:sz="8" w:space="0"/>
              <w:right w:val="single" w:color="auto" w:sz="8" w:space="0"/>
            </w:tcBorders>
            <w:shd w:val="clear" w:color="auto" w:fill="auto"/>
            <w:tcMar>
              <w:left w:w="108" w:type="dxa"/>
              <w:right w:w="108" w:type="dxa"/>
            </w:tcMar>
            <w:vAlign w:val="center"/>
          </w:tcPr>
          <w:p w14:paraId="2F230669">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7812D0CD">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3.其他</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14:paraId="457B0F39">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14:paraId="7EE528C0">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14:paraId="763B8BE7">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14:paraId="1090CAEF">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bottom w:val="single" w:color="auto" w:sz="8" w:space="0"/>
              <w:right w:val="single" w:color="auto" w:sz="8" w:space="0"/>
            </w:tcBorders>
            <w:shd w:val="clear" w:color="auto" w:fill="auto"/>
            <w:tcMar>
              <w:left w:w="108" w:type="dxa"/>
              <w:right w:w="108" w:type="dxa"/>
            </w:tcMar>
            <w:vAlign w:val="center"/>
          </w:tcPr>
          <w:p w14:paraId="617B6295">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bottom w:val="single" w:color="auto" w:sz="8" w:space="0"/>
              <w:right w:val="single" w:color="auto" w:sz="8" w:space="0"/>
            </w:tcBorders>
            <w:shd w:val="clear" w:color="auto" w:fill="auto"/>
            <w:tcMar>
              <w:left w:w="108" w:type="dxa"/>
              <w:right w:w="108" w:type="dxa"/>
            </w:tcMar>
            <w:vAlign w:val="center"/>
          </w:tcPr>
          <w:p w14:paraId="0CD07C0C">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bottom w:val="single" w:color="auto" w:sz="8" w:space="0"/>
              <w:right w:val="single" w:color="auto" w:sz="8" w:space="0"/>
            </w:tcBorders>
            <w:shd w:val="clear" w:color="auto" w:fill="auto"/>
            <w:tcMar>
              <w:left w:w="108" w:type="dxa"/>
              <w:right w:w="108" w:type="dxa"/>
            </w:tcMar>
            <w:vAlign w:val="center"/>
          </w:tcPr>
          <w:p w14:paraId="725FD2CD">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2EEC54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952F56">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111B76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E340C9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C1989D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D9926AD">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F0C5997">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7A77E48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33F83DEE">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03A9045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14:paraId="5C6A8E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3AA7A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6D8DAEE9">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4C4C148">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D7C7581">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14AF50F">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14:paraId="09F77015">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14:paraId="58A34926">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14:paraId="5BCAC390">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bl>
    <w:p w14:paraId="7E0756D8">
      <w:pPr>
        <w:pStyle w:val="5"/>
        <w:widowControl/>
        <w:shd w:val="clear" w:color="auto" w:fill="FFFFFF"/>
        <w:spacing w:beforeAutospacing="0" w:afterAutospacing="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C3EEF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71336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D620F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行政诉讼</w:t>
            </w:r>
          </w:p>
        </w:tc>
      </w:tr>
      <w:tr w14:paraId="193CD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8717B1">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342020F">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C50B3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F8E826">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3D3848">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96537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B54261">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复议后起诉</w:t>
            </w:r>
          </w:p>
        </w:tc>
      </w:tr>
      <w:tr w14:paraId="1D7877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AE6BED">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8E0EDE0">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E77CFF">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3BE2B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02330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DBD4D1C">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0A76E76">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C609B6">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D52820">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1A9C2B">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CBCFC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DAE30D">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B8B1D6">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F866BE">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7E9F62">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r>
      <w:tr w14:paraId="5B5197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C96C98">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105A56B">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162E276">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A6EBD08">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A8EFB7F">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94D5E14">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EB282E">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26D20DE">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FEF9A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9C8ACE2">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97BE6A7">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DCB25">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1CAA1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32B9631">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86838D9">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14:paraId="1BF17E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五、存在的主要问题及改进情况</w:t>
      </w:r>
    </w:p>
    <w:p w14:paraId="3E97F8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在市委市政府的正确领导下，虽然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14:paraId="7F014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年，我局将认真总结经验，努力探索工作规律，全面深入地推进政府信息公开工作。</w:t>
      </w:r>
    </w:p>
    <w:p w14:paraId="67BA6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14:paraId="219DD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14:paraId="49353B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三是加强本部门政府信息公开工作人员的业务学习和培训，促进政府信息及时、准确、规范公开。</w:t>
      </w:r>
    </w:p>
    <w:p w14:paraId="132356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科工贸局政府信息公开整体工作水平。</w:t>
      </w:r>
    </w:p>
    <w:p w14:paraId="63C82E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六、其他需要报告的事项</w:t>
      </w:r>
    </w:p>
    <w:p w14:paraId="2B2706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收取信息处理费的情况：本年度无发出收费通知事项，无收取信息处理费用情况。</w:t>
      </w:r>
    </w:p>
    <w:p w14:paraId="2419214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我局将把政府信息公开工作摆到更加重要的位置，加强领导和监督，完善运转的工作机制，认真做好政府信息公开工作，在推动政府职能转变、加强党风廉政建设方面发挥更大作用。</w:t>
      </w:r>
    </w:p>
    <w:p w14:paraId="2C2F0AE8">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eastAsia" w:ascii="仿宋_GB2312" w:hAnsi="仿宋_GB2312" w:eastAsia="仿宋_GB2312" w:cs="仿宋_GB2312"/>
          <w:lang w:eastAsia="zh-CN"/>
        </w:rPr>
      </w:pPr>
    </w:p>
    <w:p w14:paraId="5340A209">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eastAsia" w:ascii="仿宋_GB2312" w:hAnsi="仿宋_GB2312" w:eastAsia="仿宋_GB2312" w:cs="仿宋_GB2312"/>
          <w:lang w:eastAsia="zh-CN"/>
        </w:rPr>
      </w:pPr>
    </w:p>
    <w:p w14:paraId="2824D983">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吴川市科工贸和信息化局</w:t>
      </w:r>
      <w:r>
        <w:rPr>
          <w:rFonts w:hint="eastAsia" w:ascii="仿宋_GB2312" w:hAnsi="仿宋_GB2312" w:cs="仿宋_GB2312"/>
          <w:lang w:val="en-US" w:eastAsia="zh-CN"/>
        </w:rPr>
        <w:t xml:space="preserve">  </w:t>
      </w:r>
    </w:p>
    <w:p w14:paraId="4D504730">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default"/>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1</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17</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 xml:space="preserve">     </w:t>
      </w:r>
    </w:p>
    <w:p w14:paraId="4033AE64"/>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E5YTgwNjE0NzUwMWI0NjUyZDU4M2EwYTNiMGUifQ=="/>
  </w:docVars>
  <w:rsids>
    <w:rsidRoot w:val="186A3CEA"/>
    <w:rsid w:val="05123214"/>
    <w:rsid w:val="0CCE470F"/>
    <w:rsid w:val="186A3CEA"/>
    <w:rsid w:val="1C422AA1"/>
    <w:rsid w:val="245D69D7"/>
    <w:rsid w:val="25F52A64"/>
    <w:rsid w:val="27994F87"/>
    <w:rsid w:val="301B0FF4"/>
    <w:rsid w:val="34081208"/>
    <w:rsid w:val="36DA4BF1"/>
    <w:rsid w:val="3A4C2E2C"/>
    <w:rsid w:val="40296E63"/>
    <w:rsid w:val="567579A5"/>
    <w:rsid w:val="59613991"/>
    <w:rsid w:val="63896464"/>
    <w:rsid w:val="6BB51C34"/>
    <w:rsid w:val="75F4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left"/>
    </w:pPr>
    <w:rPr>
      <w:rFonts w:ascii="Calibri" w:hAnsi="Calibri" w:eastAsia="仿宋_GB2312"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5">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2515</Words>
  <Characters>2610</Characters>
  <Lines>0</Lines>
  <Paragraphs>0</Paragraphs>
  <TotalTime>76</TotalTime>
  <ScaleCrop>false</ScaleCrop>
  <LinksUpToDate>false</LinksUpToDate>
  <CharactersWithSpaces>2617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2024-01-16T01:44:00Z</dcterms:created>
  <dc:creator>小婷</dc:creator>
  <cp:lastModifiedBy>小婷</cp:lastModifiedBy>
  <dcterms:modified xsi:type="dcterms:W3CDTF">2025-01-17T07:07:39Z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DD50ADB468D044EC83D35FA67D4C7122_11</vt:lpwstr>
  </property>
  <property fmtid="{D5CDD505-2E9C-101B-9397-08002B2CF9AE}" pid="4" name="KSOTemplateDocerSaveRecord">
    <vt:lpwstr>eyJoZGlkIjoiMzA1M2YwYmI0OGQ0ODQ2ODkwOWYzODIwZDYzNTMxNDYiLCJ1c2VySWQiOiIzMjI2NDA4MTEifQ==</vt:lpwstr>
  </property>
</Properties>
</file>