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吴川市科工贸和信息化局202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年政府信息公开工作年度报告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根据《中华人民共和国政府信息公开条例》（国令第711号)（以下简称《条例》）、《国务院办公厅政府信息与政务公开办公室关于政府信息公开工作年度报告有关事项的通知》（国办公开办函〔2019〕60号）及市委市政府的要求，现公布吴川市科工贸和信息化局20</w:t>
      </w:r>
      <w:r>
        <w:rPr>
          <w:rFonts w:hint="eastAsia" w:ascii="仿宋_GB2312" w:hAnsi="仿宋_GB2312" w:cs="仿宋_GB2312"/>
          <w:i w:val="0"/>
          <w:caps w:val="0"/>
          <w:color w:val="000000"/>
          <w:spacing w:val="0"/>
          <w:kern w:val="0"/>
          <w:sz w:val="32"/>
          <w:szCs w:val="32"/>
          <w:shd w:val="clear" w:fill="FFFFFF"/>
          <w:lang w:val="en-US" w:eastAsia="zh-CN" w:bidi="ar"/>
        </w:rPr>
        <w:t>23</w:t>
      </w:r>
      <w:r>
        <w:rPr>
          <w:rFonts w:hint="eastAsia" w:ascii="仿宋_GB2312" w:hAnsi="仿宋_GB2312" w:eastAsia="仿宋_GB2312" w:cs="仿宋_GB2312"/>
          <w:i w:val="0"/>
          <w:caps w:val="0"/>
          <w:color w:val="000000"/>
          <w:spacing w:val="0"/>
          <w:kern w:val="0"/>
          <w:sz w:val="32"/>
          <w:szCs w:val="32"/>
          <w:shd w:val="clear" w:fill="FFFFFF"/>
          <w:lang w:val="en-US" w:eastAsia="zh-CN" w:bidi="ar"/>
        </w:rPr>
        <w:t>年政府信息公开工作年度报告。报告包括202</w:t>
      </w:r>
      <w:r>
        <w:rPr>
          <w:rFonts w:hint="eastAsia" w:ascii="仿宋_GB2312" w:hAnsi="仿宋_GB2312" w:cs="仿宋_GB2312"/>
          <w:i w:val="0"/>
          <w:caps w:val="0"/>
          <w:color w:val="000000"/>
          <w:spacing w:val="0"/>
          <w:kern w:val="0"/>
          <w:sz w:val="32"/>
          <w:szCs w:val="32"/>
          <w:shd w:val="clear" w:fill="FFFFFF"/>
          <w:lang w:val="en-US" w:eastAsia="zh-CN" w:bidi="ar"/>
        </w:rPr>
        <w:t>3</w:t>
      </w:r>
      <w:r>
        <w:rPr>
          <w:rFonts w:hint="eastAsia" w:ascii="仿宋_GB2312" w:hAnsi="仿宋_GB2312" w:eastAsia="仿宋_GB2312" w:cs="仿宋_GB2312"/>
          <w:i w:val="0"/>
          <w:caps w:val="0"/>
          <w:color w:val="000000"/>
          <w:spacing w:val="0"/>
          <w:kern w:val="0"/>
          <w:sz w:val="32"/>
          <w:szCs w:val="32"/>
          <w:shd w:val="clear" w:fill="FFFFFF"/>
          <w:lang w:val="en-US" w:eastAsia="zh-CN" w:bidi="ar"/>
        </w:rPr>
        <w:t>年1月1日至202</w:t>
      </w:r>
      <w:r>
        <w:rPr>
          <w:rFonts w:hint="eastAsia" w:ascii="仿宋_GB2312" w:hAnsi="仿宋_GB2312" w:cs="仿宋_GB2312"/>
          <w:i w:val="0"/>
          <w:caps w:val="0"/>
          <w:color w:val="000000"/>
          <w:spacing w:val="0"/>
          <w:kern w:val="0"/>
          <w:sz w:val="32"/>
          <w:szCs w:val="32"/>
          <w:shd w:val="clear" w:fill="FFFFFF"/>
          <w:lang w:val="en-US" w:eastAsia="zh-CN" w:bidi="ar"/>
        </w:rPr>
        <w:t>3</w:t>
      </w:r>
      <w:r>
        <w:rPr>
          <w:rFonts w:hint="eastAsia" w:ascii="仿宋_GB2312" w:hAnsi="仿宋_GB2312" w:eastAsia="仿宋_GB2312" w:cs="仿宋_GB2312"/>
          <w:i w:val="0"/>
          <w:caps w:val="0"/>
          <w:color w:val="000000"/>
          <w:spacing w:val="0"/>
          <w:kern w:val="0"/>
          <w:sz w:val="32"/>
          <w:szCs w:val="32"/>
          <w:shd w:val="clear" w:fill="FFFFFF"/>
          <w:lang w:val="en-US" w:eastAsia="zh-CN" w:bidi="ar"/>
        </w:rPr>
        <w:t>年12月31日政府信息公开工作总体情况、主动公开、依申请公开、政府信息公开行政复议和行政诉讼、存在问题及改进措施等内容。本报告主要通过吴川市人民政府门户网站（https://www.gdwc.gov.cn/）公布，如对本报告有疑问，请与局办公室联系（地址：吴川市解放中路148号，邮编：524500，电话：0759—5581988）。</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黑体" w:hAnsi="黑体" w:eastAsia="黑体" w:cs="黑体"/>
          <w:i w:val="0"/>
          <w:caps w:val="0"/>
          <w:color w:val="424242"/>
          <w:spacing w:val="0"/>
          <w:sz w:val="32"/>
          <w:szCs w:val="32"/>
        </w:rPr>
      </w:pPr>
      <w:r>
        <w:rPr>
          <w:rFonts w:hint="eastAsia" w:ascii="黑体" w:hAnsi="黑体" w:eastAsia="黑体" w:cs="黑体"/>
          <w:b/>
          <w:i w:val="0"/>
          <w:caps w:val="0"/>
          <w:color w:val="000000"/>
          <w:spacing w:val="0"/>
          <w:kern w:val="0"/>
          <w:sz w:val="32"/>
          <w:szCs w:val="32"/>
          <w:shd w:val="clear" w:fill="FFFFFF"/>
          <w:lang w:val="en-US" w:eastAsia="zh-CN" w:bidi="ar"/>
        </w:rPr>
        <w:t>一、</w:t>
      </w:r>
      <w:r>
        <w:rPr>
          <w:rFonts w:hint="eastAsia" w:ascii="黑体" w:hAnsi="黑体" w:eastAsia="黑体" w:cs="黑体"/>
          <w:b w:val="0"/>
          <w:i w:val="0"/>
          <w:caps w:val="0"/>
          <w:color w:val="000000"/>
          <w:spacing w:val="0"/>
          <w:sz w:val="32"/>
          <w:szCs w:val="32"/>
          <w:shd w:val="clear" w:fill="FFFFFF"/>
        </w:rPr>
        <w:t>总体情况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2023年，我局按照《条例》要求，以保障公众知情权为宗旨，以方便公众查询为着力点，不断拓展信息公开途径，加强信息公开载体建设，稳步推进信息公开工作，在宣传科工贸局、增强工作透明度、保证权力阳光运行等方面取得了一定成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一）健全组织，强化领导，推动信息公开工作稳步开展。我局高度重视政府信息公开工作，主要领导亲抓，办公室负责全局政府信息公开工作的推进、协调和监督。在任务较重、人手较少的情况下，充分调动各业务股室积极性，制定计划、落实责任、强化监督，保证政府信息公开工作有条不紊推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（二）加强网络平台建设。在湛江市政府和吴川市政府门户网站分支下的我局网站上，及时全面发布国家、省、市和</w:t>
      </w: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地方工信、商务和科技法规制度</w:t>
      </w:r>
      <w:r>
        <w:rPr>
          <w:rFonts w:hint="eastAsia" w:ascii="仿宋_GB2312" w:hAnsi="仿宋_GB2312" w:eastAsia="仿宋_GB2312" w:cs="仿宋_GB2312"/>
          <w:i w:val="0"/>
          <w:caps w:val="0"/>
          <w:color w:val="000000"/>
          <w:spacing w:val="0"/>
          <w:kern w:val="0"/>
          <w:sz w:val="32"/>
          <w:szCs w:val="32"/>
          <w:shd w:val="clear" w:fill="FFFFFF"/>
          <w:lang w:val="en-US" w:eastAsia="zh-CN" w:bidi="ar"/>
        </w:rPr>
        <w:t>、政策措施、工作动态等各类信息，为公众了解我</w:t>
      </w: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市科技、工信、商务工作动态提供方</w:t>
      </w:r>
      <w:r>
        <w:rPr>
          <w:rFonts w:hint="eastAsia" w:ascii="仿宋_GB2312" w:hAnsi="仿宋_GB2312" w:eastAsia="仿宋_GB2312" w:cs="仿宋_GB2312"/>
          <w:i w:val="0"/>
          <w:caps w:val="0"/>
          <w:color w:val="000000"/>
          <w:spacing w:val="0"/>
          <w:kern w:val="0"/>
          <w:sz w:val="32"/>
          <w:szCs w:val="32"/>
          <w:shd w:val="clear" w:fill="FFFFFF"/>
          <w:lang w:val="en-US" w:eastAsia="zh-CN" w:bidi="ar"/>
        </w:rPr>
        <w:t>便。同时，公布了办理程序、依据、条件、时限及联系方式等，方便企事业单位和群众办事。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（三）拓展渠道，确保公众方便及时获取公开信息。定期发布吴川市工业商贸运行态势、行业动态等分析以及提供政策信息指导服务。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（四）强化指导，不断完善政府信息公开保障和激励机制。按照市政府信息公开工作要求，</w:t>
      </w:r>
      <w:r>
        <w:rPr>
          <w:rFonts w:hint="eastAsia" w:ascii="仿宋_GB2312" w:hAnsi="仿宋_GB2312" w:eastAsia="仿宋_GB2312" w:cs="仿宋_GB2312"/>
          <w:i w:val="0"/>
          <w:caps w:val="0"/>
          <w:color w:val="000000" w:themeColor="text1"/>
          <w:spacing w:val="0"/>
          <w:kern w:val="0"/>
          <w:sz w:val="32"/>
          <w:szCs w:val="32"/>
          <w:shd w:val="clear" w:fill="FFFFFF"/>
          <w:lang w:val="en-US" w:eastAsia="zh-CN" w:bidi="ar"/>
          <w14:textFill>
            <w14:solidFill>
              <w14:schemeClr w14:val="tx1"/>
            </w14:solidFill>
          </w14:textFill>
        </w:rPr>
        <w:t>组织各股室信息员开展业务培训</w:t>
      </w:r>
      <w:r>
        <w:rPr>
          <w:rFonts w:hint="eastAsia" w:ascii="仿宋_GB2312" w:hAnsi="仿宋_GB2312" w:eastAsia="仿宋_GB2312" w:cs="仿宋_GB2312"/>
          <w:i w:val="0"/>
          <w:caps w:val="0"/>
          <w:color w:val="auto"/>
          <w:spacing w:val="0"/>
          <w:kern w:val="0"/>
          <w:sz w:val="32"/>
          <w:szCs w:val="32"/>
          <w:shd w:val="clear" w:fill="FFFFFF"/>
          <w:lang w:val="en-US" w:eastAsia="zh-CN" w:bidi="ar"/>
        </w:rPr>
        <w:t>，加强对政府信息公开工作的指导，并纳入局优秀股室评选考核内容，有效调动了局政府信息公开工作的积极性。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left"/>
        <w:textAlignment w:val="auto"/>
        <w:rPr>
          <w:rFonts w:hint="eastAsia" w:ascii="仿宋_GB2312" w:hAnsi="微软雅黑" w:eastAsia="仿宋_GB2312" w:cs="仿宋_GB2312"/>
          <w:b/>
          <w:i w:val="0"/>
          <w:caps w:val="0"/>
          <w:color w:val="auto"/>
          <w:spacing w:val="0"/>
          <w:kern w:val="0"/>
          <w:sz w:val="32"/>
          <w:szCs w:val="32"/>
          <w:shd w:val="clear" w:fill="FFFFFF"/>
          <w:lang w:val="en-US" w:eastAsia="zh-CN" w:bidi="ar"/>
        </w:rPr>
      </w:pPr>
      <w:r>
        <w:rPr>
          <w:rFonts w:hint="eastAsia" w:ascii="黑体" w:hAnsi="黑体" w:eastAsia="黑体" w:cs="黑体"/>
          <w:b w:val="0"/>
          <w:bCs/>
          <w:i w:val="0"/>
          <w:caps w:val="0"/>
          <w:color w:val="auto"/>
          <w:spacing w:val="0"/>
          <w:kern w:val="0"/>
          <w:sz w:val="32"/>
          <w:szCs w:val="32"/>
          <w:shd w:val="clear" w:fill="FFFFFF"/>
          <w:lang w:val="en-US" w:eastAsia="zh-CN" w:bidi="ar"/>
        </w:rPr>
        <w:t>二、主动公开政府信息情况</w:t>
      </w:r>
    </w:p>
    <w:p>
      <w:pPr>
        <w:keepNext w:val="0"/>
        <w:keepLines w:val="0"/>
        <w:pageBreakBefore w:val="0"/>
        <w:kinsoku/>
        <w:wordWrap/>
        <w:overflowPunct/>
        <w:topLinePunct w:val="0"/>
        <w:autoSpaceDE/>
        <w:autoSpaceDN/>
        <w:bidi w:val="0"/>
        <w:adjustRightInd/>
        <w:snapToGrid/>
        <w:spacing w:line="560" w:lineRule="exact"/>
        <w:textAlignment w:val="auto"/>
      </w:pPr>
      <w:r>
        <w:rPr>
          <w:rFonts w:hint="eastAsia" w:ascii="仿宋_GB2312" w:hAnsi="微软雅黑" w:eastAsia="仿宋_GB2312" w:cs="仿宋_GB2312"/>
          <w:i w:val="0"/>
          <w:caps w:val="0"/>
          <w:color w:val="000000"/>
          <w:spacing w:val="0"/>
          <w:kern w:val="0"/>
          <w:sz w:val="32"/>
          <w:szCs w:val="32"/>
          <w:shd w:val="clear" w:fill="FFFFFF"/>
          <w:lang w:val="en-US" w:eastAsia="zh-CN" w:bidi="ar"/>
        </w:rPr>
        <w:t>我局主要通过局网站、报刊等方式主动公开我局的政府信息。202</w:t>
      </w:r>
      <w:r>
        <w:rPr>
          <w:rFonts w:hint="eastAsia" w:ascii="仿宋_GB2312" w:hAnsi="微软雅黑" w:cs="仿宋_GB2312"/>
          <w:i w:val="0"/>
          <w:caps w:val="0"/>
          <w:color w:val="000000"/>
          <w:spacing w:val="0"/>
          <w:kern w:val="0"/>
          <w:sz w:val="32"/>
          <w:szCs w:val="32"/>
          <w:shd w:val="clear" w:fill="FFFFFF"/>
          <w:lang w:val="en-US" w:eastAsia="zh-CN" w:bidi="ar"/>
        </w:rPr>
        <w:t>3</w:t>
      </w:r>
      <w:r>
        <w:rPr>
          <w:rFonts w:hint="eastAsia" w:ascii="仿宋_GB2312" w:hAnsi="微软雅黑" w:eastAsia="仿宋_GB2312" w:cs="仿宋_GB2312"/>
          <w:i w:val="0"/>
          <w:caps w:val="0"/>
          <w:color w:val="000000"/>
          <w:spacing w:val="0"/>
          <w:kern w:val="0"/>
          <w:sz w:val="32"/>
          <w:szCs w:val="32"/>
          <w:shd w:val="clear" w:fill="FFFFFF"/>
          <w:lang w:val="en-US" w:eastAsia="zh-CN" w:bidi="ar"/>
        </w:rPr>
        <w:t>年，我局在湛江市政府网站和吴川市政府网站下分支的网站发布机构职能、领导分工、公开指南、办事指南、工作动态、财政预决算</w:t>
      </w:r>
      <w:r>
        <w:rPr>
          <w:rFonts w:hint="eastAsia" w:ascii="仿宋_GB2312" w:hAnsi="微软雅黑" w:eastAsia="仿宋_GB2312" w:cs="仿宋_GB2312"/>
          <w:i w:val="0"/>
          <w:caps w:val="0"/>
          <w:color w:val="auto"/>
          <w:spacing w:val="0"/>
          <w:kern w:val="0"/>
          <w:sz w:val="32"/>
          <w:szCs w:val="32"/>
          <w:highlight w:val="none"/>
          <w:shd w:val="clear" w:fill="FFFFFF"/>
          <w:lang w:val="en-US" w:eastAsia="zh-CN" w:bidi="ar"/>
        </w:rPr>
        <w:t>、信息公开年度报告等专栏信息共</w:t>
      </w:r>
      <w:r>
        <w:rPr>
          <w:rFonts w:hint="eastAsia" w:ascii="仿宋_GB2312" w:hAnsi="微软雅黑" w:cs="仿宋_GB2312"/>
          <w:i w:val="0"/>
          <w:caps w:val="0"/>
          <w:color w:val="auto"/>
          <w:spacing w:val="0"/>
          <w:kern w:val="0"/>
          <w:sz w:val="32"/>
          <w:szCs w:val="32"/>
          <w:highlight w:val="none"/>
          <w:shd w:val="clear" w:fill="FFFFFF"/>
          <w:lang w:val="en-US" w:eastAsia="zh-CN" w:bidi="ar"/>
        </w:rPr>
        <w:t>87</w:t>
      </w:r>
      <w:r>
        <w:rPr>
          <w:rFonts w:hint="eastAsia" w:ascii="仿宋_GB2312" w:hAnsi="微软雅黑" w:eastAsia="仿宋_GB2312" w:cs="仿宋_GB2312"/>
          <w:i w:val="0"/>
          <w:caps w:val="0"/>
          <w:color w:val="auto"/>
          <w:spacing w:val="0"/>
          <w:kern w:val="0"/>
          <w:sz w:val="32"/>
          <w:szCs w:val="32"/>
          <w:highlight w:val="none"/>
          <w:shd w:val="clear" w:fill="FFFFFF"/>
          <w:lang w:val="en-US" w:eastAsia="zh-CN" w:bidi="ar"/>
        </w:rPr>
        <w:t>条。全年没有公共资源交易、重大建设项目批准和实施</w:t>
      </w:r>
      <w:bookmarkStart w:id="0" w:name="_GoBack"/>
      <w:bookmarkEnd w:id="0"/>
      <w:r>
        <w:rPr>
          <w:rFonts w:hint="eastAsia" w:ascii="仿宋_GB2312" w:hAnsi="微软雅黑" w:eastAsia="仿宋_GB2312" w:cs="仿宋_GB2312"/>
          <w:i w:val="0"/>
          <w:caps w:val="0"/>
          <w:color w:val="auto"/>
          <w:spacing w:val="0"/>
          <w:kern w:val="0"/>
          <w:sz w:val="32"/>
          <w:szCs w:val="32"/>
          <w:highlight w:val="none"/>
          <w:shd w:val="clear" w:fill="FFFFFF"/>
          <w:lang w:val="en-US" w:eastAsia="zh-CN" w:bidi="ar"/>
        </w:rPr>
        <w:t>、公益事业建设等重点领域情况。</w:t>
      </w:r>
    </w:p>
    <w:tbl>
      <w:tblPr>
        <w:tblStyle w:val="8"/>
        <w:tblW w:w="8140" w:type="dxa"/>
        <w:jc w:val="center"/>
        <w:tblLayout w:type="fixed"/>
        <w:tblCellMar>
          <w:top w:w="0" w:type="dxa"/>
          <w:left w:w="0" w:type="dxa"/>
          <w:bottom w:w="0" w:type="dxa"/>
          <w:right w:w="0" w:type="dxa"/>
        </w:tblCellMar>
      </w:tblPr>
      <w:tblGrid>
        <w:gridCol w:w="3113"/>
        <w:gridCol w:w="1869"/>
        <w:gridCol w:w="1277"/>
        <w:gridCol w:w="1881"/>
      </w:tblGrid>
      <w:tr>
        <w:tblPrEx>
          <w:tblCellMar>
            <w:top w:w="0" w:type="dxa"/>
            <w:left w:w="0" w:type="dxa"/>
            <w:bottom w:w="0" w:type="dxa"/>
            <w:right w:w="0"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信息内容</w:t>
            </w:r>
          </w:p>
        </w:tc>
        <w:tc>
          <w:tcPr>
            <w:tcW w:w="186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本年</w:t>
            </w:r>
            <w:r>
              <w:rPr>
                <w:rFonts w:hint="eastAsia" w:ascii="仿宋_GB2312" w:hAnsi="仿宋_GB2312" w:eastAsia="仿宋_GB2312" w:cs="仿宋_GB2312"/>
                <w:color w:val="auto"/>
                <w:kern w:val="0"/>
                <w:sz w:val="20"/>
                <w:szCs w:val="20"/>
                <w:lang w:eastAsia="zh-CN"/>
              </w:rPr>
              <w:t>制发件数</w:t>
            </w:r>
          </w:p>
        </w:tc>
        <w:tc>
          <w:tcPr>
            <w:tcW w:w="127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本年</w:t>
            </w:r>
            <w:r>
              <w:rPr>
                <w:rFonts w:hint="eastAsia" w:ascii="仿宋_GB2312" w:hAnsi="仿宋_GB2312" w:eastAsia="仿宋_GB2312" w:cs="仿宋_GB2312"/>
                <w:color w:val="auto"/>
                <w:kern w:val="0"/>
                <w:sz w:val="20"/>
                <w:szCs w:val="20"/>
                <w:lang w:eastAsia="zh-CN"/>
              </w:rPr>
              <w:t>废止件数</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eastAsia="zh-CN"/>
              </w:rPr>
              <w:t>现行有效件数</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规章</w:t>
            </w:r>
          </w:p>
        </w:tc>
        <w:tc>
          <w:tcPr>
            <w:tcW w:w="186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cs="仿宋_GB2312"/>
                <w:color w:val="auto"/>
                <w:kern w:val="0"/>
                <w:sz w:val="20"/>
                <w:szCs w:val="20"/>
                <w:lang w:val="en-US" w:eastAsia="zh-CN"/>
              </w:rPr>
              <w:t>0</w:t>
            </w:r>
          </w:p>
        </w:tc>
        <w:tc>
          <w:tcPr>
            <w:tcW w:w="127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0</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规范性文件</w:t>
            </w:r>
          </w:p>
        </w:tc>
        <w:tc>
          <w:tcPr>
            <w:tcW w:w="186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cs="仿宋_GB2312"/>
                <w:color w:val="auto"/>
                <w:kern w:val="0"/>
                <w:sz w:val="20"/>
                <w:szCs w:val="20"/>
                <w:lang w:val="en-US" w:eastAsia="zh-CN"/>
              </w:rPr>
              <w:t>0</w:t>
            </w:r>
          </w:p>
        </w:tc>
        <w:tc>
          <w:tcPr>
            <w:tcW w:w="127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0</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cs="仿宋_GB2312"/>
                <w:color w:val="auto"/>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信息内容</w:t>
            </w:r>
          </w:p>
        </w:tc>
        <w:tc>
          <w:tcPr>
            <w:tcW w:w="5027"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eastAsia="zh-CN"/>
              </w:rPr>
              <w:t>本年处理决定数量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行政许可</w:t>
            </w:r>
          </w:p>
        </w:tc>
        <w:tc>
          <w:tcPr>
            <w:tcW w:w="502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信息内容</w:t>
            </w:r>
          </w:p>
        </w:tc>
        <w:tc>
          <w:tcPr>
            <w:tcW w:w="5027"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eastAsia="zh-CN"/>
              </w:rPr>
              <w:t>本年处理决定数量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行政处罚</w:t>
            </w:r>
          </w:p>
        </w:tc>
        <w:tc>
          <w:tcPr>
            <w:tcW w:w="502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行政强制</w:t>
            </w:r>
          </w:p>
        </w:tc>
        <w:tc>
          <w:tcPr>
            <w:tcW w:w="502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信息内容</w:t>
            </w:r>
          </w:p>
        </w:tc>
        <w:tc>
          <w:tcPr>
            <w:tcW w:w="5027" w:type="dxa"/>
            <w:gridSpan w:val="3"/>
            <w:tcBorders>
              <w:top w:val="nil"/>
              <w:left w:val="nil"/>
              <w:bottom w:val="single" w:color="auto" w:sz="8" w:space="0"/>
              <w:right w:val="single" w:color="000000"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eastAsia="zh-CN"/>
              </w:rPr>
              <w:t>本年收费金额（单位：万元）</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行政事业性收费</w:t>
            </w:r>
          </w:p>
        </w:tc>
        <w:tc>
          <w:tcPr>
            <w:tcW w:w="5027" w:type="dxa"/>
            <w:gridSpan w:val="3"/>
            <w:tcBorders>
              <w:top w:val="nil"/>
              <w:left w:val="nil"/>
              <w:bottom w:val="single" w:color="auto" w:sz="8" w:space="0"/>
              <w:right w:val="single" w:color="000000"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0</w:t>
            </w:r>
          </w:p>
        </w:tc>
      </w:tr>
    </w:tbl>
    <w:p>
      <w:pPr>
        <w:pStyle w:val="7"/>
        <w:widowControl/>
        <w:shd w:val="clear" w:color="auto" w:fill="FFFFFF"/>
        <w:spacing w:beforeAutospacing="0" w:after="240" w:afterAutospacing="0"/>
        <w:ind w:firstLine="420"/>
        <w:jc w:val="both"/>
        <w:rPr>
          <w:rFonts w:hint="eastAsia" w:ascii="黑体" w:hAnsi="黑体" w:eastAsia="黑体" w:cs="黑体"/>
          <w:b w:val="0"/>
          <w:bCs/>
          <w:color w:val="333333"/>
          <w:sz w:val="32"/>
          <w:szCs w:val="32"/>
        </w:rPr>
      </w:pPr>
      <w:r>
        <w:rPr>
          <w:rFonts w:hint="eastAsia" w:ascii="黑体" w:hAnsi="黑体" w:eastAsia="黑体" w:cs="黑体"/>
          <w:b w:val="0"/>
          <w:bCs/>
          <w:color w:val="333333"/>
          <w:sz w:val="32"/>
          <w:szCs w:val="32"/>
          <w:shd w:val="clear" w:color="auto" w:fill="FFFFFF"/>
        </w:rPr>
        <w:t>三、收到和处理政府信息公开申请情况</w:t>
      </w:r>
    </w:p>
    <w:tbl>
      <w:tblPr>
        <w:tblStyle w:val="8"/>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94"/>
        <w:gridCol w:w="678"/>
        <w:gridCol w:w="2086"/>
        <w:gridCol w:w="814"/>
        <w:gridCol w:w="755"/>
        <w:gridCol w:w="755"/>
        <w:gridCol w:w="814"/>
        <w:gridCol w:w="974"/>
        <w:gridCol w:w="712"/>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8"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（本列数据的勾稽关系为：第一项加第二项之和，等于第三项加第四项之和）</w:t>
            </w:r>
          </w:p>
        </w:tc>
        <w:tc>
          <w:tcPr>
            <w:tcW w:w="5513"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81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自然人</w:t>
            </w:r>
          </w:p>
        </w:tc>
        <w:tc>
          <w:tcPr>
            <w:tcW w:w="401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法人或其他组织</w:t>
            </w:r>
          </w:p>
        </w:tc>
        <w:tc>
          <w:tcPr>
            <w:tcW w:w="689"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81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商业企业</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科研机构</w:t>
            </w:r>
          </w:p>
        </w:tc>
        <w:tc>
          <w:tcPr>
            <w:tcW w:w="81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社会公益组织</w:t>
            </w:r>
          </w:p>
        </w:tc>
        <w:tc>
          <w:tcPr>
            <w:tcW w:w="97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法律服务机构</w:t>
            </w:r>
          </w:p>
        </w:tc>
        <w:tc>
          <w:tcPr>
            <w:tcW w:w="71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其他</w:t>
            </w:r>
          </w:p>
        </w:tc>
        <w:tc>
          <w:tcPr>
            <w:tcW w:w="689"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一、本年新收政府信息公开申请数量</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二、上年结转政府信息公开申请数量</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三、本年度办理结果</w:t>
            </w:r>
          </w:p>
        </w:tc>
        <w:tc>
          <w:tcPr>
            <w:tcW w:w="276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（一）予以公开</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276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（二）部分公开（区分处理的，只计这一情形，不计其他情形）</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67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rPr>
              <w:t>（三）不予公开</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1.属于国家秘密</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67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2.其他法律行政法规禁止公开</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67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3.危及“三安全一稳定”</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67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4.保护第三方合法权益</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67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5.属于三类内部事务信息</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67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6.属于四类过程性信息</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67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7.属于行政执法案卷</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67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8.属于行政查询事项</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67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rPr>
              <w:t>（四）无法提供</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1.本机关不掌握相关政府信息</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67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2.没有现成信息需要另行制作</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67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3.补正后申请内容仍不明确</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67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rPr>
              <w:t>（五）不予处理</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1.信访举报投诉类申请</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67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2.重复申请</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67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3.要求提供公开出版物</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67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4.无正当理由大量反复申请</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67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5.要求行政机关确认或重新出具已获取信息</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68" w:hRule="atLeast"/>
          <w:jc w:val="center"/>
        </w:trPr>
        <w:tc>
          <w:tcPr>
            <w:tcW w:w="7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678" w:type="dxa"/>
            <w:vMerge w:val="restart"/>
            <w:tcBorders>
              <w:top w:val="nil"/>
              <w:left w:val="nil"/>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（六）其他处理</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1.申请人无正当理由逾期不补正、行政机关不再处理其政府信息公开申请</w:t>
            </w:r>
          </w:p>
        </w:tc>
        <w:tc>
          <w:tcPr>
            <w:tcW w:w="814" w:type="dxa"/>
            <w:tcBorders>
              <w:top w:val="nil"/>
              <w:left w:val="nil"/>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68" w:hRule="atLeast"/>
          <w:jc w:val="center"/>
        </w:trPr>
        <w:tc>
          <w:tcPr>
            <w:tcW w:w="7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678" w:type="dxa"/>
            <w:vMerge w:val="continue"/>
            <w:tcBorders>
              <w:left w:val="nil"/>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2.申请人逾期未按收费通知要求缴纳费用、行政机关不再处理其政府信息公开申请</w:t>
            </w:r>
          </w:p>
        </w:tc>
        <w:tc>
          <w:tcPr>
            <w:tcW w:w="814" w:type="dxa"/>
            <w:tcBorders>
              <w:left w:val="nil"/>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c>
          <w:tcPr>
            <w:tcW w:w="755" w:type="dxa"/>
            <w:tcBorders>
              <w:left w:val="nil"/>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c>
          <w:tcPr>
            <w:tcW w:w="755" w:type="dxa"/>
            <w:tcBorders>
              <w:left w:val="nil"/>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c>
          <w:tcPr>
            <w:tcW w:w="814" w:type="dxa"/>
            <w:tcBorders>
              <w:left w:val="nil"/>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c>
          <w:tcPr>
            <w:tcW w:w="974" w:type="dxa"/>
            <w:tcBorders>
              <w:left w:val="nil"/>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c>
          <w:tcPr>
            <w:tcW w:w="712" w:type="dxa"/>
            <w:tcBorders>
              <w:left w:val="nil"/>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c>
          <w:tcPr>
            <w:tcW w:w="689" w:type="dxa"/>
            <w:tcBorders>
              <w:left w:val="nil"/>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68" w:hRule="atLeast"/>
          <w:jc w:val="center"/>
        </w:trPr>
        <w:tc>
          <w:tcPr>
            <w:tcW w:w="794" w:type="dxa"/>
            <w:vMerge w:val="continue"/>
            <w:tcBorders>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678" w:type="dxa"/>
            <w:vMerge w:val="continue"/>
            <w:tcBorders>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3.其他</w:t>
            </w:r>
          </w:p>
        </w:tc>
        <w:tc>
          <w:tcPr>
            <w:tcW w:w="814" w:type="dxa"/>
            <w:tcBorders>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c>
          <w:tcPr>
            <w:tcW w:w="755" w:type="dxa"/>
            <w:tcBorders>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c>
          <w:tcPr>
            <w:tcW w:w="755" w:type="dxa"/>
            <w:tcBorders>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c>
          <w:tcPr>
            <w:tcW w:w="814" w:type="dxa"/>
            <w:tcBorders>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c>
          <w:tcPr>
            <w:tcW w:w="974" w:type="dxa"/>
            <w:tcBorders>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c>
          <w:tcPr>
            <w:tcW w:w="712" w:type="dxa"/>
            <w:tcBorders>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c>
          <w:tcPr>
            <w:tcW w:w="689" w:type="dxa"/>
            <w:tcBorders>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p>
        </w:tc>
        <w:tc>
          <w:tcPr>
            <w:tcW w:w="276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（七）总计</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四、结转下年度继续办理</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97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71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0</w:t>
            </w:r>
          </w:p>
        </w:tc>
      </w:tr>
    </w:tbl>
    <w:p>
      <w:pPr>
        <w:pStyle w:val="7"/>
        <w:widowControl/>
        <w:shd w:val="clear" w:color="auto" w:fill="FFFFFF"/>
        <w:spacing w:beforeAutospacing="0" w:afterAutospacing="0"/>
        <w:jc w:val="both"/>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shd w:val="clear" w:color="auto" w:fill="FFFFFF"/>
        </w:rPr>
        <w:t>四、政府信息公开行政复议、行政诉讼情况</w:t>
      </w:r>
    </w:p>
    <w:tbl>
      <w:tblPr>
        <w:tblStyle w:val="8"/>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结果维持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总计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其他结果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尚未审结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其他结果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560" w:lineRule="exact"/>
        <w:ind w:left="0" w:leftChars="0" w:right="0" w:firstLine="640" w:firstLineChars="200"/>
        <w:jc w:val="left"/>
        <w:textAlignment w:val="auto"/>
        <w:rPr>
          <w:rFonts w:hint="eastAsia" w:ascii="黑体" w:hAnsi="黑体" w:eastAsia="黑体" w:cs="黑体"/>
          <w:i w:val="0"/>
          <w:caps w:val="0"/>
          <w:color w:val="000000"/>
          <w:spacing w:val="0"/>
          <w:kern w:val="0"/>
          <w:sz w:val="32"/>
          <w:szCs w:val="32"/>
          <w:shd w:val="clear" w:fill="FFFFFF"/>
          <w:lang w:val="en-US" w:eastAsia="zh-CN" w:bidi="ar"/>
        </w:rPr>
      </w:pPr>
      <w:r>
        <w:rPr>
          <w:rFonts w:hint="eastAsia" w:ascii="黑体" w:hAnsi="黑体" w:eastAsia="黑体" w:cs="黑体"/>
          <w:i w:val="0"/>
          <w:caps w:val="0"/>
          <w:color w:val="000000"/>
          <w:spacing w:val="0"/>
          <w:kern w:val="0"/>
          <w:sz w:val="32"/>
          <w:szCs w:val="32"/>
          <w:shd w:val="clear" w:fill="FFFFFF"/>
          <w:lang w:val="en-US" w:eastAsia="zh-CN" w:bidi="ar"/>
        </w:rPr>
        <w:t>五、存在的主要问题及改进情况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560" w:lineRule="exact"/>
        <w:ind w:left="0" w:leftChars="0" w:right="0"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202</w:t>
      </w:r>
      <w:r>
        <w:rPr>
          <w:rFonts w:hint="eastAsia" w:ascii="仿宋_GB2312" w:hAnsi="仿宋_GB2312" w:cs="仿宋_GB2312"/>
          <w:i w:val="0"/>
          <w:caps w:val="0"/>
          <w:color w:val="000000"/>
          <w:spacing w:val="0"/>
          <w:kern w:val="0"/>
          <w:sz w:val="32"/>
          <w:szCs w:val="32"/>
          <w:shd w:val="clear" w:fill="FFFFFF"/>
          <w:lang w:val="en-US" w:eastAsia="zh-CN" w:bidi="ar"/>
        </w:rPr>
        <w:t>3</w:t>
      </w:r>
      <w:r>
        <w:rPr>
          <w:rFonts w:hint="eastAsia" w:ascii="仿宋_GB2312" w:hAnsi="仿宋_GB2312" w:eastAsia="仿宋_GB2312" w:cs="仿宋_GB2312"/>
          <w:i w:val="0"/>
          <w:caps w:val="0"/>
          <w:color w:val="000000"/>
          <w:spacing w:val="0"/>
          <w:kern w:val="0"/>
          <w:sz w:val="32"/>
          <w:szCs w:val="32"/>
          <w:shd w:val="clear" w:fill="FFFFFF"/>
          <w:lang w:val="en-US" w:eastAsia="zh-CN" w:bidi="ar"/>
        </w:rPr>
        <w:t>年，在市委市政府的正确领导下，虽然我局政府信息公开工作取得了一定的成绩，但也存在一些问题与不足，主要表现为：一是对政府信息公开的重要性的认识还需进一步增强，目前部分股室的信息公开还不够及时；二是政府信息公开的内容和形式还需进一步深化和拓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560" w:lineRule="exact"/>
        <w:ind w:left="0" w:leftChars="0" w:right="0"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cs="仿宋_GB2312"/>
          <w:i w:val="0"/>
          <w:caps w:val="0"/>
          <w:color w:val="000000"/>
          <w:spacing w:val="0"/>
          <w:kern w:val="0"/>
          <w:sz w:val="32"/>
          <w:szCs w:val="32"/>
          <w:shd w:val="clear" w:fill="FFFFFF"/>
          <w:lang w:val="en-US" w:eastAsia="zh-CN" w:bidi="ar"/>
        </w:rPr>
        <w:t>下一步</w:t>
      </w:r>
      <w:r>
        <w:rPr>
          <w:rFonts w:hint="eastAsia" w:ascii="仿宋_GB2312" w:hAnsi="仿宋_GB2312" w:eastAsia="仿宋_GB2312" w:cs="仿宋_GB2312"/>
          <w:i w:val="0"/>
          <w:caps w:val="0"/>
          <w:color w:val="000000"/>
          <w:spacing w:val="0"/>
          <w:kern w:val="0"/>
          <w:sz w:val="32"/>
          <w:szCs w:val="32"/>
          <w:shd w:val="clear" w:fill="FFFFFF"/>
          <w:lang w:val="en-US" w:eastAsia="zh-CN" w:bidi="ar"/>
        </w:rPr>
        <w:t>，我局将认真总结经验，努力探索工作规律，全面深入地推进政府信息公开工作。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560" w:lineRule="exact"/>
        <w:ind w:left="0" w:leftChars="0" w:right="0"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一是进一步完善湛江市政府和吴川市政府分支网站建设。充分发挥门户网站覆盖面广、权威性高和传播速度快的优势，扩大信息公开范围，丰富公开内容，加大政府信息的发布力度。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560" w:lineRule="exact"/>
        <w:ind w:left="0" w:leftChars="0" w:right="0"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二是丰富深化政府信息公开内容和拓宽政府信息公开渠道。按照“公开为原则，不公开为例外”的总体要求，进一步梳理、深化本部门信息公开内容，确保该公开内容全部公开，涉密内容不公开。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560" w:lineRule="exact"/>
        <w:ind w:left="0" w:leftChars="0" w:right="0"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三是加强本部门政府信息公开工作人员的业务学习和培训，促进政府信息及时、准确、规范公开。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560" w:lineRule="exact"/>
        <w:ind w:left="0" w:leftChars="0" w:right="0"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四是进一步健全和完善信息公开各项制度。结合工作实际，进一步修改和完善信息公开制度，建立内容保障长效机制，调动各股室信息报送的主动性和积极性，确保政务信息公开的质量和实用性要求，不断提高市科工贸局政府信息公开整体工作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560" w:lineRule="exact"/>
        <w:ind w:left="0" w:leftChars="0" w:right="0" w:firstLine="640" w:firstLineChars="200"/>
        <w:jc w:val="left"/>
        <w:textAlignment w:val="auto"/>
        <w:rPr>
          <w:rFonts w:hint="eastAsia" w:ascii="黑体" w:hAnsi="黑体" w:eastAsia="黑体" w:cs="黑体"/>
          <w:i w:val="0"/>
          <w:caps w:val="0"/>
          <w:color w:val="000000"/>
          <w:spacing w:val="0"/>
          <w:kern w:val="0"/>
          <w:sz w:val="32"/>
          <w:szCs w:val="32"/>
          <w:shd w:val="clear" w:fill="FFFFFF"/>
          <w:lang w:val="en-US" w:eastAsia="zh-CN" w:bidi="ar"/>
        </w:rPr>
      </w:pPr>
      <w:r>
        <w:rPr>
          <w:rFonts w:hint="eastAsia" w:ascii="黑体" w:hAnsi="黑体" w:eastAsia="黑体" w:cs="黑体"/>
          <w:i w:val="0"/>
          <w:caps w:val="0"/>
          <w:color w:val="000000"/>
          <w:spacing w:val="0"/>
          <w:kern w:val="0"/>
          <w:sz w:val="32"/>
          <w:szCs w:val="32"/>
          <w:shd w:val="clear" w:fill="FFFFFF"/>
          <w:lang w:val="en-US" w:eastAsia="zh-CN" w:bidi="ar"/>
        </w:rPr>
        <w:t>六、其他需要报告的事项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560" w:lineRule="exact"/>
        <w:ind w:left="0" w:leftChars="0" w:right="0"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收取信息处理费的情况：本年度无发出收费通知事项，无收取信息处理费用情况。</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我局将把政府信息公开工作摆到更加重要的位置，加强领导和监督，完善运转的工作机制，认真做好政府信息公开工作，在推动政府职能转变、加强党风廉政建设方面发挥更大作用。</w:t>
      </w:r>
    </w:p>
    <w:p>
      <w:pPr>
        <w:pStyle w:val="2"/>
        <w:rPr>
          <w:rFonts w:hint="eastAsia" w:ascii="仿宋_GB2312" w:hAnsi="仿宋_GB2312" w:eastAsia="仿宋_GB2312" w:cs="仿宋_GB2312"/>
          <w:i w:val="0"/>
          <w:caps w:val="0"/>
          <w:color w:val="000000"/>
          <w:spacing w:val="0"/>
          <w:kern w:val="0"/>
          <w:sz w:val="32"/>
          <w:szCs w:val="32"/>
          <w:shd w:val="clear" w:fill="FFFFFF"/>
          <w:lang w:val="en-US" w:eastAsia="zh-CN" w:bidi="ar"/>
        </w:rPr>
      </w:pPr>
    </w:p>
    <w:p>
      <w:pPr>
        <w:pStyle w:val="2"/>
        <w:rPr>
          <w:rFonts w:hint="eastAsia" w:ascii="仿宋_GB2312" w:hAnsi="仿宋_GB2312" w:eastAsia="仿宋_GB2312" w:cs="仿宋_GB2312"/>
          <w:i w:val="0"/>
          <w:caps w:val="0"/>
          <w:color w:val="000000"/>
          <w:spacing w:val="0"/>
          <w:kern w:val="0"/>
          <w:sz w:val="32"/>
          <w:szCs w:val="32"/>
          <w:shd w:val="clear" w:fill="FFFFFF"/>
          <w:lang w:val="en-US" w:eastAsia="zh-CN" w:bidi="ar"/>
        </w:rPr>
      </w:pPr>
    </w:p>
    <w:p>
      <w:pPr>
        <w:pStyle w:val="2"/>
        <w:keepNext w:val="0"/>
        <w:keepLines w:val="0"/>
        <w:pageBreakBefore w:val="0"/>
        <w:kinsoku/>
        <w:wordWrap w:val="0"/>
        <w:overflowPunct/>
        <w:topLinePunct w:val="0"/>
        <w:autoSpaceDE/>
        <w:autoSpaceDN/>
        <w:bidi w:val="0"/>
        <w:adjustRightInd/>
        <w:snapToGrid/>
        <w:spacing w:after="0" w:afterLines="0" w:line="560" w:lineRule="exact"/>
        <w:ind w:left="0" w:leftChars="0" w:firstLine="640" w:firstLineChars="200"/>
        <w:jc w:val="righ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eastAsia="zh-CN"/>
        </w:rPr>
        <w:t>吴川市科工贸和信息化局</w:t>
      </w:r>
      <w:r>
        <w:rPr>
          <w:rFonts w:hint="eastAsia" w:ascii="仿宋_GB2312" w:hAnsi="仿宋_GB2312" w:cs="仿宋_GB2312"/>
          <w:lang w:val="en-US" w:eastAsia="zh-CN"/>
        </w:rPr>
        <w:t xml:space="preserve">  </w:t>
      </w:r>
    </w:p>
    <w:p>
      <w:pPr>
        <w:pStyle w:val="2"/>
        <w:keepNext w:val="0"/>
        <w:keepLines w:val="0"/>
        <w:pageBreakBefore w:val="0"/>
        <w:kinsoku/>
        <w:wordWrap w:val="0"/>
        <w:overflowPunct/>
        <w:topLinePunct w:val="0"/>
        <w:autoSpaceDE/>
        <w:autoSpaceDN/>
        <w:bidi w:val="0"/>
        <w:adjustRightInd/>
        <w:snapToGrid/>
        <w:spacing w:after="0" w:afterLines="0" w:line="560" w:lineRule="exact"/>
        <w:ind w:left="0" w:leftChars="0" w:firstLine="640" w:firstLineChars="200"/>
        <w:jc w:val="right"/>
        <w:textAlignment w:val="auto"/>
        <w:rPr>
          <w:rFonts w:hint="default"/>
          <w:lang w:val="en-US" w:eastAsia="zh-CN"/>
        </w:rPr>
      </w:pPr>
      <w:r>
        <w:rPr>
          <w:rFonts w:hint="eastAsia" w:ascii="仿宋_GB2312" w:hAnsi="仿宋_GB2312" w:eastAsia="仿宋_GB2312" w:cs="仿宋_GB2312"/>
          <w:lang w:val="en-US" w:eastAsia="zh-CN"/>
        </w:rPr>
        <w:t>202</w:t>
      </w:r>
      <w:r>
        <w:rPr>
          <w:rFonts w:hint="eastAsia" w:ascii="仿宋_GB2312" w:hAnsi="仿宋_GB2312" w:cs="仿宋_GB2312"/>
          <w:lang w:val="en-US" w:eastAsia="zh-CN"/>
        </w:rPr>
        <w:t>4</w:t>
      </w:r>
      <w:r>
        <w:rPr>
          <w:rFonts w:hint="eastAsia" w:ascii="仿宋_GB2312" w:hAnsi="仿宋_GB2312" w:eastAsia="仿宋_GB2312" w:cs="仿宋_GB2312"/>
          <w:lang w:val="en-US" w:eastAsia="zh-CN"/>
        </w:rPr>
        <w:t>年</w:t>
      </w:r>
      <w:r>
        <w:rPr>
          <w:rFonts w:hint="eastAsia" w:ascii="仿宋_GB2312" w:hAnsi="仿宋_GB2312" w:cs="仿宋_GB2312"/>
          <w:lang w:val="en-US" w:eastAsia="zh-CN"/>
        </w:rPr>
        <w:t>1</w:t>
      </w:r>
      <w:r>
        <w:rPr>
          <w:rFonts w:hint="eastAsia" w:ascii="仿宋_GB2312" w:hAnsi="仿宋_GB2312" w:eastAsia="仿宋_GB2312" w:cs="仿宋_GB2312"/>
          <w:lang w:val="en-US" w:eastAsia="zh-CN"/>
        </w:rPr>
        <w:t>月</w:t>
      </w:r>
      <w:r>
        <w:rPr>
          <w:rFonts w:hint="eastAsia" w:ascii="仿宋_GB2312" w:hAnsi="仿宋_GB2312" w:cs="仿宋_GB2312"/>
          <w:lang w:val="en-US" w:eastAsia="zh-CN"/>
        </w:rPr>
        <w:t>29</w:t>
      </w:r>
      <w:r>
        <w:rPr>
          <w:rFonts w:hint="eastAsia" w:ascii="仿宋_GB2312" w:hAnsi="仿宋_GB2312" w:eastAsia="仿宋_GB2312" w:cs="仿宋_GB2312"/>
          <w:lang w:val="en-US" w:eastAsia="zh-CN"/>
        </w:rPr>
        <w:t>日</w:t>
      </w:r>
      <w:r>
        <w:rPr>
          <w:rFonts w:hint="eastAsia" w:ascii="仿宋_GB2312" w:hAnsi="仿宋_GB2312" w:cs="仿宋_GB2312"/>
          <w:lang w:val="en-US" w:eastAsia="zh-CN"/>
        </w:rPr>
        <w:t xml:space="preserve">     </w:t>
      </w:r>
    </w:p>
    <w:p/>
    <w:sectPr>
      <w:footerReference r:id="rId5" w:type="default"/>
      <w:pgSz w:w="11906" w:h="16838"/>
      <w:pgMar w:top="2098" w:right="1474" w:bottom="1984"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1M2YwYmI0OGQ0ODQ2ODkwOWYzODIwZDYzNTMxNDYifQ=="/>
  </w:docVars>
  <w:rsids>
    <w:rsidRoot w:val="186A3CEA"/>
    <w:rsid w:val="186A3CEA"/>
    <w:rsid w:val="245D69D7"/>
    <w:rsid w:val="2DD72903"/>
    <w:rsid w:val="301B0FF4"/>
    <w:rsid w:val="34081208"/>
    <w:rsid w:val="36DA4BF1"/>
    <w:rsid w:val="4F853065"/>
    <w:rsid w:val="567579A5"/>
    <w:rsid w:val="63896464"/>
    <w:rsid w:val="6B1B387C"/>
    <w:rsid w:val="6BB51C34"/>
    <w:rsid w:val="7E612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880" w:firstLineChars="200"/>
      <w:jc w:val="left"/>
    </w:pPr>
    <w:rPr>
      <w:rFonts w:ascii="Calibri" w:hAnsi="Calibri" w:eastAsia="仿宋_GB2312" w:cs="Times New Roman"/>
      <w:kern w:val="2"/>
      <w:sz w:val="32"/>
      <w:szCs w:val="24"/>
      <w:lang w:val="en-US" w:eastAsia="zh-CN" w:bidi="ar-SA"/>
    </w:rPr>
  </w:style>
  <w:style w:type="paragraph" w:styleId="4">
    <w:name w:val="heading 1"/>
    <w:basedOn w:val="1"/>
    <w:next w:val="1"/>
    <w:autoRedefine/>
    <w:qFormat/>
    <w:uiPriority w:val="0"/>
    <w:pPr>
      <w:keepNext/>
      <w:keepLines/>
      <w:spacing w:before="340" w:beforeLines="0" w:beforeAutospacing="0" w:after="330" w:afterLines="0" w:afterAutospacing="0" w:line="576" w:lineRule="auto"/>
      <w:outlineLvl w:val="0"/>
    </w:pPr>
    <w:rPr>
      <w:rFonts w:eastAsia="方正小标宋简体"/>
      <w:b/>
      <w:kern w:val="44"/>
      <w:sz w:val="44"/>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after="120" w:afterLines="0" w:afterAutospacing="0"/>
      <w:ind w:left="420" w:leftChars="2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2024-01-16T01:44:00Z</dcterms:created>
  <dc:creator>小婷</dc:creator>
  <cp:lastModifiedBy>小婷</cp:lastModifiedBy>
  <dcterms:modified xsi:type="dcterms:W3CDTF">2024-01-30T07:55:47Z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DD50ADB468D044EC83D35FA67D4C7122_11</vt:lpwstr>
  </property>
</Properties>
</file>