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吴川市博铺街道“四小园”建设项目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招标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代理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的邀请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公告</w:t>
      </w:r>
    </w:p>
    <w:p>
      <w:pPr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我单位就吴川市博铺街道“四小园”建设项目开展招标代理服务采购，欢迎符合资格条件的代理机构参加。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业主单位：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吴川市博铺街道办事处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项目名称：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200"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吴川市博铺街道“四小园”建设项目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服务内容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及期限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吴川市博铺街道“四小园”建设项目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代理所有相关服务工作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服务期限为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确定中选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代理机构之日起，至本项目所有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项目的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通知书发出并签署合同及依法办理各项招标、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手续完毕、移交档案资料之日止。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招标代理服务计费标准：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本项目总投资48.6万元，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招标代理服务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费按中华人民共和国国家发展计划委员会颁发的计价格[2002]1980号、国家发改委[2003]857号及发改价格[2011]534号文规定的标准计费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选取方式：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选定工作将贯彻择优的原则，在参选人名单中通过综合考虑选择招标代理单位，中选单位以电话联系通知为准，对未中选的参选人不作未中选理由解释。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、参选人条件要求：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（一）参选人须具有独立承担民事责任的能力，提供有效营业执照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（二）参选人须已完成在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广东省政府采购网智慧云平台备案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三）在“信用中国”网站（www.creditchina.gov.cn）未被列入失信被执行人名单和重大税收违法案件当事人名单、政府采购严重违法失信记录名单；在中国政府采购网（www.ccgp.gov.cn）未被列入政府采购严重违法失信行为记录名单（提供以上网站信息查询结果界面截图，加盖单位公章，查询起始日期为公告文件之日起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、参选人应提交的材料：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（一）法定代表人证明书及身份证复印件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（二）法定代表人授权委托书及授权委托人身份证复印件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（三）企业营业执照副本复印件；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（四）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代理机构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广东省智慧云平台备案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信息截图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（五）报价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，文件须加盖公章，注明报价日期、联系人、联系电话等基本信息。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、参选单位递交资料时间、地点及业主联系方式：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（一）时间2023年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日至2023年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日，共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个工作日，工作日上午9:00-12:00，下午2:30-5:30；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（二）地点：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吴川市博铺街道办事处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（三）联系人：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吴文明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，联系电话：0759-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5292293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  <w:t xml:space="preserve">                         吴川市博铺街道办事处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840" w:rightChars="40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报价函</w:t>
      </w:r>
    </w:p>
    <w:p>
      <w:pPr>
        <w:rPr>
          <w:rFonts w:hint="eastAsia" w:ascii="黑体" w:hAnsi="黑体" w:eastAsia="黑体" w:cs="黑体"/>
        </w:rPr>
      </w:pPr>
    </w:p>
    <w:tbl>
      <w:tblPr>
        <w:tblStyle w:val="5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2"/>
        <w:gridCol w:w="5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8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吴川市博铺街道“四小园”建设项目招标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代理服务费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234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报价（下浮率）</w:t>
            </w:r>
          </w:p>
        </w:tc>
        <w:tc>
          <w:tcPr>
            <w:tcW w:w="5837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8179" w:type="dxa"/>
            <w:gridSpan w:val="2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ascii="宋体" w:hAnsi="宋体" w:eastAsia="宋体" w:cs="宋体"/>
                <w:sz w:val="24"/>
                <w:szCs w:val="24"/>
              </w:rPr>
              <w:t>代理服务收费标准：按中华人民共和国国家发展计划委员会颁发的计价格[2002]1980号、国家发改委[2003]857号及发改价格[2011]534号文规定的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>标准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计费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</w:tc>
      </w:tr>
    </w:tbl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rPr>
          <w:rFonts w:hint="eastAsia" w:ascii="黑体" w:hAnsi="黑体" w:eastAsia="黑体" w:cs="黑体"/>
        </w:rPr>
      </w:pPr>
    </w:p>
    <w:p>
      <w:pPr>
        <w:wordWrap w:val="0"/>
        <w:jc w:val="righ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报价单位：            </w:t>
      </w:r>
    </w:p>
    <w:p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联系人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：              </w:t>
      </w:r>
    </w:p>
    <w:p>
      <w:pPr>
        <w:wordWrap w:val="0"/>
        <w:jc w:val="right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联系电话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：            </w:t>
      </w:r>
    </w:p>
    <w:p>
      <w:pPr>
        <w:jc w:val="righ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2023年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ODc0ZmNiNmY1NmU3YTE2OGIzMzA3OTljYzdlMWIifQ=="/>
  </w:docVars>
  <w:rsids>
    <w:rsidRoot w:val="00000000"/>
    <w:rsid w:val="110306C4"/>
    <w:rsid w:val="25D52D1D"/>
    <w:rsid w:val="47C54FA3"/>
    <w:rsid w:val="4F18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932</Words>
  <Characters>1066</Characters>
  <Paragraphs>53</Paragraphs>
  <TotalTime>1</TotalTime>
  <ScaleCrop>false</ScaleCrop>
  <LinksUpToDate>false</LinksUpToDate>
  <CharactersWithSpaces>1112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2023-06-28T03:31:00Z</dcterms:created>
  <dc:creator>绿茶</dc:creator>
  <cp:lastModifiedBy> SS</cp:lastModifiedBy>
  <cp:lastPrinted>2023-10-23T02:04:00Z</cp:lastPrinted>
  <dcterms:modified xsi:type="dcterms:W3CDTF">2023-10-25T08:21:19Z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B44AB91500F84A708A5A9210650FD955_13</vt:lpwstr>
  </property>
</Properties>
</file>