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rFonts w:ascii="方正大标宋简体" w:hAnsi="黑体" w:eastAsia="方正大标宋简体"/>
          <w:sz w:val="64"/>
          <w:szCs w:val="64"/>
        </w:rPr>
      </w:pPr>
      <w:r>
        <w:rPr>
          <w:rFonts w:hint="eastAsia" w:ascii="方正大标宋简体" w:hAnsi="黑体" w:eastAsia="方正大标宋简体"/>
          <w:sz w:val="64"/>
          <w:szCs w:val="64"/>
        </w:rPr>
        <w:t>吴川市城乡规划管理技术规定</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吴川市住房和城乡规划建设局</w:t>
      </w:r>
    </w:p>
    <w:p>
      <w:pPr>
        <w:jc w:val="center"/>
        <w:rPr>
          <w:sz w:val="32"/>
          <w:szCs w:val="32"/>
        </w:rPr>
      </w:pPr>
    </w:p>
    <w:p>
      <w:pPr>
        <w:jc w:val="center"/>
        <w:rPr>
          <w:sz w:val="32"/>
          <w:szCs w:val="32"/>
        </w:rPr>
      </w:pPr>
      <w:r>
        <w:rPr>
          <w:sz w:val="32"/>
          <w:szCs w:val="32"/>
        </w:rPr>
        <w:t>2018</w:t>
      </w:r>
      <w:r>
        <w:rPr>
          <w:rFonts w:hint="eastAsia"/>
          <w:sz w:val="32"/>
          <w:szCs w:val="32"/>
        </w:rPr>
        <w:t>年</w:t>
      </w:r>
      <w:r>
        <w:rPr>
          <w:sz w:val="32"/>
          <w:szCs w:val="32"/>
        </w:rPr>
        <w:t>8</w:t>
      </w:r>
      <w:r>
        <w:rPr>
          <w:rFonts w:hint="eastAsia"/>
          <w:sz w:val="32"/>
          <w:szCs w:val="32"/>
        </w:rPr>
        <w:t>月</w:t>
      </w:r>
    </w:p>
    <w:p>
      <w:pPr>
        <w:pStyle w:val="27"/>
        <w:ind w:left="694" w:hanging="694"/>
        <w:rPr>
          <w:color w:val="auto"/>
          <w:lang w:val="zh-CN"/>
        </w:rPr>
        <w:sectPr>
          <w:footerReference r:id="rId3" w:type="even"/>
          <w:type w:val="nextColumn"/>
          <w:pgSz w:w="11906" w:h="16838"/>
          <w:pgMar w:top="1418" w:right="1134" w:bottom="1418" w:left="1134" w:header="851" w:footer="680" w:gutter="284"/>
          <w:pgNumType w:fmt="lowerRoman" w:start="1"/>
          <w:cols w:space="425" w:num="1"/>
          <w:docGrid w:type="lines" w:linePitch="538" w:charSpace="0"/>
        </w:sectPr>
      </w:pPr>
    </w:p>
    <w:p>
      <w:pPr>
        <w:pStyle w:val="27"/>
        <w:ind w:left="694" w:hanging="694"/>
        <w:jc w:val="center"/>
        <w:rPr>
          <w:color w:val="auto"/>
        </w:rPr>
      </w:pPr>
      <w:r>
        <w:rPr>
          <w:color w:val="auto"/>
          <w:lang w:val="zh-CN"/>
        </w:rPr>
        <w:t>目</w:t>
      </w:r>
      <w:r>
        <w:rPr>
          <w:rFonts w:hint="eastAsia"/>
          <w:color w:val="auto"/>
        </w:rPr>
        <w:t xml:space="preserve">  </w:t>
      </w:r>
      <w:r>
        <w:rPr>
          <w:color w:val="auto"/>
          <w:lang w:val="zh-CN"/>
        </w:rPr>
        <w:t>录</w:t>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TOC \o "1-2" \h \z \u </w:instrText>
      </w:r>
      <w:r>
        <w:fldChar w:fldCharType="separate"/>
      </w:r>
      <w:r>
        <w:fldChar w:fldCharType="begin"/>
      </w:r>
      <w:r>
        <w:instrText xml:space="preserve"> HYPERLINK \l "_Toc523230024" </w:instrText>
      </w:r>
      <w:r>
        <w:fldChar w:fldCharType="separate"/>
      </w:r>
      <w:r>
        <w:rPr>
          <w:rStyle w:val="21"/>
        </w:rPr>
        <w:t>1.</w:t>
      </w:r>
      <w:r>
        <w:rPr>
          <w:rFonts w:asciiTheme="minorHAnsi" w:hAnsiTheme="minorHAnsi" w:eastAsiaTheme="minorEastAsia" w:cstheme="minorBidi"/>
          <w:sz w:val="21"/>
        </w:rPr>
        <w:tab/>
      </w:r>
      <w:r>
        <w:rPr>
          <w:rStyle w:val="21"/>
        </w:rPr>
        <w:t>总  则</w:t>
      </w:r>
      <w:r>
        <w:tab/>
      </w:r>
      <w:r>
        <w:fldChar w:fldCharType="begin"/>
      </w:r>
      <w:r>
        <w:instrText xml:space="preserve"> PAGEREF _Toc523230024 \h </w:instrText>
      </w:r>
      <w:r>
        <w:fldChar w:fldCharType="separate"/>
      </w:r>
      <w:r>
        <w:t>1</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"_Toc523230025" </w:instrText>
      </w:r>
      <w:r>
        <w:fldChar w:fldCharType="separate"/>
      </w:r>
      <w:r>
        <w:rPr>
          <w:rStyle w:val="21"/>
        </w:rPr>
        <w:t>2.</w:t>
      </w:r>
      <w:r>
        <w:rPr>
          <w:rFonts w:asciiTheme="minorHAnsi" w:hAnsiTheme="minorHAnsi" w:eastAsiaTheme="minorEastAsia" w:cstheme="minorBidi"/>
          <w:sz w:val="21"/>
        </w:rPr>
        <w:tab/>
      </w:r>
      <w:r>
        <w:rPr>
          <w:rStyle w:val="21"/>
        </w:rPr>
        <w:t>建设用地与开发强度</w:t>
      </w:r>
      <w:r>
        <w:tab/>
      </w:r>
      <w:r>
        <w:fldChar w:fldCharType="begin"/>
      </w:r>
      <w:r>
        <w:instrText xml:space="preserve"> PAGEREF _Toc523230025 \h </w:instrText>
      </w:r>
      <w:r>
        <w:fldChar w:fldCharType="separate"/>
      </w:r>
      <w:r>
        <w:t>2</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"_Toc523230026" </w:instrText>
      </w:r>
      <w:r>
        <w:fldChar w:fldCharType="separate"/>
      </w:r>
      <w:r>
        <w:rPr>
          <w:rStyle w:val="21"/>
          <w:lang w:bidi="en-US"/>
        </w:rPr>
        <w:t>2.1</w:t>
      </w:r>
      <w:r>
        <w:rPr>
          <w:rFonts w:asciiTheme="minorHAnsi" w:hAnsiTheme="minorHAnsi" w:eastAsiaTheme="minorEastAsia" w:cstheme="minorBidi"/>
          <w:sz w:val="21"/>
        </w:rPr>
        <w:tab/>
      </w:r>
      <w:r>
        <w:rPr>
          <w:rStyle w:val="21"/>
          <w:lang w:bidi="en-US"/>
        </w:rPr>
        <w:t>建设用地分类</w:t>
      </w:r>
      <w:r>
        <w:tab/>
      </w:r>
      <w:r>
        <w:fldChar w:fldCharType="begin"/>
      </w:r>
      <w:r>
        <w:instrText xml:space="preserve"> PAGEREF _Toc523230026 \h </w:instrText>
      </w:r>
      <w:r>
        <w:fldChar w:fldCharType="separate"/>
      </w:r>
      <w:r>
        <w:t>2</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"_Toc523230027" </w:instrText>
      </w:r>
      <w:r>
        <w:fldChar w:fldCharType="separate"/>
      </w:r>
      <w:r>
        <w:rPr>
          <w:rStyle w:val="21"/>
          <w:lang w:bidi="en-US"/>
        </w:rPr>
        <w:t>2.2</w:t>
      </w:r>
      <w:r>
        <w:rPr>
          <w:rFonts w:asciiTheme="minorHAnsi" w:hAnsiTheme="minorHAnsi" w:eastAsiaTheme="minorEastAsia" w:cstheme="minorBidi"/>
          <w:sz w:val="21"/>
        </w:rPr>
        <w:tab/>
      </w:r>
      <w:r>
        <w:rPr>
          <w:rStyle w:val="21"/>
          <w:lang w:bidi="en-US"/>
        </w:rPr>
        <w:t>建设用地管理</w:t>
      </w:r>
      <w:r>
        <w:tab/>
      </w:r>
      <w:r>
        <w:fldChar w:fldCharType="begin"/>
      </w:r>
      <w:r>
        <w:instrText xml:space="preserve"> PAGEREF _Toc523230027 \h </w:instrText>
      </w:r>
      <w:r>
        <w:fldChar w:fldCharType="separate"/>
      </w:r>
      <w:r>
        <w:t>2</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"_Toc523230028" </w:instrText>
      </w:r>
      <w:r>
        <w:fldChar w:fldCharType="separate"/>
      </w:r>
      <w:r>
        <w:rPr>
          <w:rStyle w:val="21"/>
          <w:lang w:bidi="en-US"/>
        </w:rPr>
        <w:t>2.3</w:t>
      </w:r>
      <w:r>
        <w:rPr>
          <w:rFonts w:asciiTheme="minorHAnsi" w:hAnsiTheme="minorHAnsi" w:eastAsiaTheme="minorEastAsia" w:cstheme="minorBidi"/>
          <w:sz w:val="21"/>
        </w:rPr>
        <w:tab/>
      </w:r>
      <w:r>
        <w:rPr>
          <w:rStyle w:val="21"/>
          <w:lang w:bidi="en-US"/>
        </w:rPr>
        <w:t>居住用地规模</w:t>
      </w:r>
      <w:r>
        <w:tab/>
      </w:r>
      <w:r>
        <w:fldChar w:fldCharType="begin"/>
      </w:r>
      <w:r>
        <w:instrText xml:space="preserve"> PAGEREF _Toc523230028 \h </w:instrText>
      </w:r>
      <w:r>
        <w:fldChar w:fldCharType="separate"/>
      </w:r>
      <w:r>
        <w:t>4</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"_Toc523230029" </w:instrText>
      </w:r>
      <w:r>
        <w:fldChar w:fldCharType="separate"/>
      </w:r>
      <w:r>
        <w:rPr>
          <w:rStyle w:val="21"/>
          <w:lang w:bidi="en-US"/>
        </w:rPr>
        <w:t>2.4</w:t>
      </w:r>
      <w:r>
        <w:rPr>
          <w:rFonts w:asciiTheme="minorHAnsi" w:hAnsiTheme="minorHAnsi" w:eastAsiaTheme="minorEastAsia" w:cstheme="minorBidi"/>
          <w:sz w:val="21"/>
        </w:rPr>
        <w:tab/>
      </w:r>
      <w:r>
        <w:rPr>
          <w:rStyle w:val="21"/>
          <w:lang w:bidi="en-US"/>
        </w:rPr>
        <w:t>居住用地开发强度</w:t>
      </w:r>
      <w:r>
        <w:tab/>
      </w:r>
      <w:r>
        <w:fldChar w:fldCharType="begin"/>
      </w:r>
      <w:r>
        <w:instrText xml:space="preserve"> PAGEREF _Toc523230029 \h </w:instrText>
      </w:r>
      <w:r>
        <w:fldChar w:fldCharType="separate"/>
      </w:r>
      <w:r>
        <w:t>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"_Toc523230030" </w:instrText>
      </w:r>
      <w:r>
        <w:fldChar w:fldCharType="separate"/>
      </w:r>
      <w:r>
        <w:rPr>
          <w:rStyle w:val="21"/>
          <w:lang w:bidi="en-US"/>
        </w:rPr>
        <w:t>2.5</w:t>
      </w:r>
      <w:r>
        <w:rPr>
          <w:rFonts w:asciiTheme="minorHAnsi" w:hAnsiTheme="minorHAnsi" w:eastAsiaTheme="minorEastAsia" w:cstheme="minorBidi"/>
          <w:sz w:val="21"/>
        </w:rPr>
        <w:tab/>
      </w:r>
      <w:r>
        <w:rPr>
          <w:rStyle w:val="21"/>
          <w:lang w:bidi="en-US"/>
        </w:rPr>
        <w:t>商业服务业用地开发强度</w:t>
      </w:r>
      <w:r>
        <w:tab/>
      </w:r>
      <w:r>
        <w:fldChar w:fldCharType="begin"/>
      </w:r>
      <w:r>
        <w:instrText xml:space="preserve"> PAGEREF _Toc523230030 \h </w:instrText>
      </w:r>
      <w:r>
        <w:fldChar w:fldCharType="separate"/>
      </w:r>
      <w:r>
        <w:t>7</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"_Toc523230031" </w:instrText>
      </w:r>
      <w:r>
        <w:fldChar w:fldCharType="separate"/>
      </w:r>
      <w:r>
        <w:rPr>
          <w:rStyle w:val="21"/>
          <w:lang w:bidi="en-US"/>
        </w:rPr>
        <w:t>2.6</w:t>
      </w:r>
      <w:r>
        <w:rPr>
          <w:rFonts w:asciiTheme="minorHAnsi" w:hAnsiTheme="minorHAnsi" w:eastAsiaTheme="minorEastAsia" w:cstheme="minorBidi"/>
          <w:sz w:val="21"/>
        </w:rPr>
        <w:tab/>
      </w:r>
      <w:r>
        <w:rPr>
          <w:rStyle w:val="21"/>
          <w:lang w:bidi="en-US"/>
        </w:rPr>
        <w:t>保障性住房项目开发强度</w:t>
      </w:r>
      <w:r>
        <w:tab/>
      </w:r>
      <w:r>
        <w:fldChar w:fldCharType="begin"/>
      </w:r>
      <w:r>
        <w:instrText xml:space="preserve"> PAGEREF _Toc523230031 \h </w:instrText>
      </w:r>
      <w:r>
        <w:fldChar w:fldCharType="separate"/>
      </w:r>
      <w:r>
        <w:t>9</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"_Toc523230032" </w:instrText>
      </w:r>
      <w:r>
        <w:fldChar w:fldCharType="separate"/>
      </w:r>
      <w:r>
        <w:rPr>
          <w:rStyle w:val="21"/>
          <w:lang w:bidi="en-US"/>
        </w:rPr>
        <w:t>2.7</w:t>
      </w:r>
      <w:r>
        <w:rPr>
          <w:rFonts w:asciiTheme="minorHAnsi" w:hAnsiTheme="minorHAnsi" w:eastAsiaTheme="minorEastAsia" w:cstheme="minorBidi"/>
          <w:sz w:val="21"/>
        </w:rPr>
        <w:tab/>
      </w:r>
      <w:r>
        <w:rPr>
          <w:rStyle w:val="21"/>
          <w:lang w:bidi="en-US"/>
        </w:rPr>
        <w:t>超高层建筑设置条件及容积率计算</w:t>
      </w:r>
      <w:r>
        <w:tab/>
      </w:r>
      <w:r>
        <w:fldChar w:fldCharType="begin"/>
      </w:r>
      <w:r>
        <w:instrText xml:space="preserve"> PAGEREF _Toc523230032 \h </w:instrText>
      </w:r>
      <w:r>
        <w:fldChar w:fldCharType="separate"/>
      </w:r>
      <w:r>
        <w:t>9</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"_Toc523230033" </w:instrText>
      </w:r>
      <w:r>
        <w:fldChar w:fldCharType="separate"/>
      </w:r>
      <w:r>
        <w:rPr>
          <w:rStyle w:val="21"/>
          <w:lang w:bidi="en-US"/>
        </w:rPr>
        <w:t>2.8</w:t>
      </w:r>
      <w:r>
        <w:rPr>
          <w:rFonts w:asciiTheme="minorHAnsi" w:hAnsiTheme="minorHAnsi" w:eastAsiaTheme="minorEastAsia" w:cstheme="minorBidi"/>
          <w:sz w:val="21"/>
        </w:rPr>
        <w:tab/>
      </w:r>
      <w:r>
        <w:rPr>
          <w:rStyle w:val="21"/>
          <w:lang w:bidi="en-US"/>
        </w:rPr>
        <w:t>工业用地及开发强度</w:t>
      </w:r>
      <w:r>
        <w:tab/>
      </w:r>
      <w:r>
        <w:fldChar w:fldCharType="begin"/>
      </w:r>
      <w:r>
        <w:instrText xml:space="preserve"> PAGEREF _Toc523230033 \h </w:instrText>
      </w:r>
      <w:r>
        <w:fldChar w:fldCharType="separate"/>
      </w:r>
      <w:r>
        <w:t>9</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"_Toc523230034" </w:instrText>
      </w:r>
      <w:r>
        <w:fldChar w:fldCharType="separate"/>
      </w:r>
      <w:r>
        <w:rPr>
          <w:rStyle w:val="21"/>
          <w:lang w:bidi="en-US"/>
        </w:rPr>
        <w:t>2.9</w:t>
      </w:r>
      <w:r>
        <w:rPr>
          <w:rFonts w:asciiTheme="minorHAnsi" w:hAnsiTheme="minorHAnsi" w:eastAsiaTheme="minorEastAsia" w:cstheme="minorBidi"/>
          <w:sz w:val="21"/>
        </w:rPr>
        <w:tab/>
      </w:r>
      <w:r>
        <w:rPr>
          <w:rStyle w:val="21"/>
          <w:lang w:bidi="en-US"/>
        </w:rPr>
        <w:t>物流仓储用地及开发强度</w:t>
      </w:r>
      <w:r>
        <w:tab/>
      </w:r>
      <w:r>
        <w:fldChar w:fldCharType="begin"/>
      </w:r>
      <w:r>
        <w:instrText xml:space="preserve"> PAGEREF _Toc523230034 \h </w:instrText>
      </w:r>
      <w:r>
        <w:fldChar w:fldCharType="separate"/>
      </w:r>
      <w:r>
        <w:t>11</w:t>
      </w:r>
      <w:r>
        <w:fldChar w:fldCharType="end"/>
      </w:r>
      <w:r>
        <w:fldChar w:fldCharType="end"/>
      </w:r>
    </w:p>
    <w:p>
      <w:pPr>
        <w:pStyle w:val="16"/>
        <w:tabs>
          <w:tab w:val="left" w:pos="1680"/>
          <w:tab w:val="right" w:leader="dot" w:pos="9344"/>
        </w:tabs>
        <w:ind w:left="560"/>
        <w:rPr>
          <w:rFonts w:asciiTheme="minorHAnsi" w:hAnsiTheme="minorHAnsi" w:eastAsiaTheme="minorEastAsia" w:cstheme="minorBidi"/>
          <w:sz w:val="21"/>
        </w:rPr>
      </w:pPr>
      <w:r>
        <w:fldChar w:fldCharType="begin"/>
      </w:r>
      <w:r>
        <w:instrText xml:space="preserve"> HYPERLINK \l "_Toc523230035" </w:instrText>
      </w:r>
      <w:r>
        <w:fldChar w:fldCharType="separate"/>
      </w:r>
      <w:r>
        <w:rPr>
          <w:rStyle w:val="21"/>
          <w:lang w:bidi="en-US"/>
        </w:rPr>
        <w:t>2.10</w:t>
      </w:r>
      <w:r>
        <w:rPr>
          <w:rFonts w:asciiTheme="minorHAnsi" w:hAnsiTheme="minorHAnsi" w:eastAsiaTheme="minorEastAsia" w:cstheme="minorBidi"/>
          <w:sz w:val="21"/>
        </w:rPr>
        <w:tab/>
      </w:r>
      <w:r>
        <w:rPr>
          <w:rStyle w:val="21"/>
          <w:lang w:bidi="en-US"/>
        </w:rPr>
        <w:t>公共管理与公共服务用地开发强度控制指标</w:t>
      </w:r>
      <w:r>
        <w:tab/>
      </w:r>
      <w:r>
        <w:fldChar w:fldCharType="begin"/>
      </w:r>
      <w:r>
        <w:instrText xml:space="preserve"> PAGEREF _Toc523230035 \h </w:instrText>
      </w:r>
      <w:r>
        <w:fldChar w:fldCharType="separate"/>
      </w:r>
      <w:r>
        <w:t>11</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"_Toc523230036" </w:instrText>
      </w:r>
      <w:r>
        <w:fldChar w:fldCharType="separate"/>
      </w:r>
      <w:r>
        <w:rPr>
          <w:rStyle w:val="21"/>
        </w:rPr>
        <w:t>3.</w:t>
      </w:r>
      <w:r>
        <w:rPr>
          <w:rFonts w:asciiTheme="minorHAnsi" w:hAnsiTheme="minorHAnsi" w:eastAsiaTheme="minorEastAsia" w:cstheme="minorBidi"/>
          <w:sz w:val="21"/>
        </w:rPr>
        <w:tab/>
      </w:r>
      <w:r>
        <w:rPr>
          <w:rStyle w:val="21"/>
        </w:rPr>
        <w:t>绿地与公共配套设施</w:t>
      </w:r>
      <w:r>
        <w:tab/>
      </w:r>
      <w:r>
        <w:fldChar w:fldCharType="begin"/>
      </w:r>
      <w:r>
        <w:instrText xml:space="preserve"> PAGEREF _Toc523230036 \h </w:instrText>
      </w:r>
      <w:r>
        <w:fldChar w:fldCharType="separate"/>
      </w:r>
      <w:r>
        <w:t>13</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"_Toc523230037" </w:instrText>
      </w:r>
      <w:r>
        <w:fldChar w:fldCharType="separate"/>
      </w:r>
      <w:r>
        <w:rPr>
          <w:rStyle w:val="21"/>
          <w:lang w:bidi="en-US"/>
        </w:rPr>
        <w:t>3.1</w:t>
      </w:r>
      <w:r>
        <w:rPr>
          <w:rFonts w:asciiTheme="minorHAnsi" w:hAnsiTheme="minorHAnsi" w:eastAsiaTheme="minorEastAsia" w:cstheme="minorBidi"/>
          <w:sz w:val="21"/>
        </w:rPr>
        <w:tab/>
      </w:r>
      <w:r>
        <w:rPr>
          <w:rStyle w:val="21"/>
          <w:lang w:bidi="en-US"/>
        </w:rPr>
        <w:t>配建绿地</w:t>
      </w:r>
      <w:r>
        <w:tab/>
      </w:r>
      <w:r>
        <w:fldChar w:fldCharType="begin"/>
      </w:r>
      <w:r>
        <w:instrText xml:space="preserve"> PAGEREF _Toc523230037 \h </w:instrText>
      </w:r>
      <w:r>
        <w:fldChar w:fldCharType="separate"/>
      </w:r>
      <w:r>
        <w:t>13</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"_Toc523230038" </w:instrText>
      </w:r>
      <w:r>
        <w:fldChar w:fldCharType="separate"/>
      </w:r>
      <w:r>
        <w:rPr>
          <w:rStyle w:val="21"/>
          <w:lang w:bidi="en-US"/>
        </w:rPr>
        <w:t>3.2</w:t>
      </w:r>
      <w:r>
        <w:rPr>
          <w:rFonts w:asciiTheme="minorHAnsi" w:hAnsiTheme="minorHAnsi" w:eastAsiaTheme="minorEastAsia" w:cstheme="minorBidi"/>
          <w:sz w:val="21"/>
        </w:rPr>
        <w:tab/>
      </w:r>
      <w:r>
        <w:rPr>
          <w:rStyle w:val="21"/>
          <w:lang w:bidi="en-US"/>
        </w:rPr>
        <w:t>配建公共服务设施</w:t>
      </w:r>
      <w:r>
        <w:tab/>
      </w:r>
      <w:r>
        <w:fldChar w:fldCharType="begin"/>
      </w:r>
      <w:r>
        <w:instrText xml:space="preserve"> PAGEREF _Toc523230038 \h </w:instrText>
      </w:r>
      <w:r>
        <w:fldChar w:fldCharType="separate"/>
      </w:r>
      <w:r>
        <w:t>14</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"_Toc523230039" </w:instrText>
      </w:r>
      <w:r>
        <w:fldChar w:fldCharType="separate"/>
      </w:r>
      <w:r>
        <w:rPr>
          <w:rStyle w:val="21"/>
          <w:lang w:bidi="en-US"/>
        </w:rPr>
        <w:t>3.3</w:t>
      </w:r>
      <w:r>
        <w:rPr>
          <w:rFonts w:asciiTheme="minorHAnsi" w:hAnsiTheme="minorHAnsi" w:eastAsiaTheme="minorEastAsia" w:cstheme="minorBidi"/>
          <w:sz w:val="21"/>
        </w:rPr>
        <w:tab/>
      </w:r>
      <w:r>
        <w:rPr>
          <w:rStyle w:val="21"/>
          <w:lang w:bidi="en-US"/>
        </w:rPr>
        <w:t>配建停车场（库）</w:t>
      </w:r>
      <w:r>
        <w:tab/>
      </w:r>
      <w:r>
        <w:fldChar w:fldCharType="begin"/>
      </w:r>
      <w:r>
        <w:instrText xml:space="preserve"> PAGEREF _Toc523230039 \h </w:instrText>
      </w:r>
      <w:r>
        <w:fldChar w:fldCharType="separate"/>
      </w:r>
      <w:r>
        <w:t>22</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"_Toc523230040" </w:instrText>
      </w:r>
      <w:r>
        <w:fldChar w:fldCharType="separate"/>
      </w:r>
      <w:r>
        <w:rPr>
          <w:rStyle w:val="21"/>
        </w:rPr>
        <w:t>4.</w:t>
      </w:r>
      <w:r>
        <w:rPr>
          <w:rFonts w:asciiTheme="minorHAnsi" w:hAnsiTheme="minorHAnsi" w:eastAsiaTheme="minorEastAsia" w:cstheme="minorBidi"/>
          <w:sz w:val="21"/>
        </w:rPr>
        <w:tab/>
      </w:r>
      <w:r>
        <w:rPr>
          <w:rStyle w:val="21"/>
        </w:rPr>
        <w:t>建筑退让距离</w:t>
      </w:r>
      <w:r>
        <w:tab/>
      </w:r>
      <w:r>
        <w:fldChar w:fldCharType="begin"/>
      </w:r>
      <w:r>
        <w:instrText xml:space="preserve"> PAGEREF _Toc523230040 \h </w:instrText>
      </w:r>
      <w:r>
        <w:fldChar w:fldCharType="separate"/>
      </w:r>
      <w:r>
        <w:t>25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"_Toc523230041" </w:instrText>
      </w:r>
      <w:r>
        <w:fldChar w:fldCharType="separate"/>
      </w:r>
      <w:r>
        <w:rPr>
          <w:rStyle w:val="21"/>
          <w:lang w:bidi="en-US"/>
        </w:rPr>
        <w:t>4.1</w:t>
      </w:r>
      <w:r>
        <w:rPr>
          <w:rFonts w:asciiTheme="minorHAnsi" w:hAnsiTheme="minorHAnsi" w:eastAsiaTheme="minorEastAsia" w:cstheme="minorBidi"/>
          <w:sz w:val="21"/>
        </w:rPr>
        <w:tab/>
      </w:r>
      <w:r>
        <w:rPr>
          <w:rStyle w:val="21"/>
          <w:lang w:bidi="en-US"/>
        </w:rPr>
        <w:t>建筑退让用地红线距离</w:t>
      </w:r>
      <w:r>
        <w:tab/>
      </w:r>
      <w:r>
        <w:fldChar w:fldCharType="begin"/>
      </w:r>
      <w:r>
        <w:instrText xml:space="preserve"> PAGEREF _Toc523230041 \h </w:instrText>
      </w:r>
      <w:r>
        <w:fldChar w:fldCharType="separate"/>
      </w:r>
      <w:r>
        <w:t>25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"_Toc523230042" </w:instrText>
      </w:r>
      <w:r>
        <w:fldChar w:fldCharType="separate"/>
      </w:r>
      <w:r>
        <w:rPr>
          <w:rStyle w:val="21"/>
          <w:lang w:bidi="en-US"/>
        </w:rPr>
        <w:t>4.2</w:t>
      </w:r>
      <w:r>
        <w:rPr>
          <w:rFonts w:asciiTheme="minorHAnsi" w:hAnsiTheme="minorHAnsi" w:eastAsiaTheme="minorEastAsia" w:cstheme="minorBidi"/>
          <w:sz w:val="21"/>
        </w:rPr>
        <w:tab/>
      </w:r>
      <w:r>
        <w:rPr>
          <w:rStyle w:val="21"/>
          <w:lang w:bidi="en-US"/>
        </w:rPr>
        <w:t>建筑退让道路红线距离</w:t>
      </w:r>
      <w:r>
        <w:tab/>
      </w:r>
      <w:r>
        <w:fldChar w:fldCharType="begin"/>
      </w:r>
      <w:r>
        <w:instrText xml:space="preserve"> PAGEREF _Toc523230042 \h </w:instrText>
      </w:r>
      <w:r>
        <w:fldChar w:fldCharType="separate"/>
      </w:r>
      <w:r>
        <w:t>25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"_Toc523230043" </w:instrText>
      </w:r>
      <w:r>
        <w:fldChar w:fldCharType="separate"/>
      </w:r>
      <w:r>
        <w:rPr>
          <w:rStyle w:val="21"/>
          <w:lang w:bidi="en-US"/>
        </w:rPr>
        <w:t>4.3</w:t>
      </w:r>
      <w:r>
        <w:rPr>
          <w:rFonts w:asciiTheme="minorHAnsi" w:hAnsiTheme="minorHAnsi" w:eastAsiaTheme="minorEastAsia" w:cstheme="minorBidi"/>
          <w:sz w:val="21"/>
        </w:rPr>
        <w:tab/>
      </w:r>
      <w:r>
        <w:rPr>
          <w:rStyle w:val="21"/>
          <w:lang w:bidi="en-US"/>
        </w:rPr>
        <w:t>地下建筑物退让红线距离</w:t>
      </w:r>
      <w:r>
        <w:tab/>
      </w:r>
      <w:r>
        <w:fldChar w:fldCharType="begin"/>
      </w:r>
      <w:r>
        <w:instrText xml:space="preserve"> PAGEREF _Toc523230043 \h </w:instrText>
      </w:r>
      <w:r>
        <w:fldChar w:fldCharType="separate"/>
      </w:r>
      <w:r>
        <w:t>26</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"_Toc523230044" </w:instrText>
      </w:r>
      <w:r>
        <w:fldChar w:fldCharType="separate"/>
      </w:r>
      <w:r>
        <w:rPr>
          <w:rStyle w:val="21"/>
          <w:lang w:bidi="en-US"/>
        </w:rPr>
        <w:t>4.4</w:t>
      </w:r>
      <w:r>
        <w:rPr>
          <w:rFonts w:asciiTheme="minorHAnsi" w:hAnsiTheme="minorHAnsi" w:eastAsiaTheme="minorEastAsia" w:cstheme="minorBidi"/>
          <w:sz w:val="21"/>
        </w:rPr>
        <w:tab/>
      </w:r>
      <w:r>
        <w:rPr>
          <w:rStyle w:val="21"/>
          <w:lang w:bidi="en-US"/>
        </w:rPr>
        <w:t>城市基础设施退让距离</w:t>
      </w:r>
      <w:r>
        <w:tab/>
      </w:r>
      <w:r>
        <w:fldChar w:fldCharType="begin"/>
      </w:r>
      <w:r>
        <w:instrText xml:space="preserve"> PAGEREF _Toc523230044 \h </w:instrText>
      </w:r>
      <w:r>
        <w:fldChar w:fldCharType="separate"/>
      </w:r>
      <w:r>
        <w:t>26</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"_Toc523230045" </w:instrText>
      </w:r>
      <w:r>
        <w:fldChar w:fldCharType="separate"/>
      </w:r>
      <w:r>
        <w:rPr>
          <w:rStyle w:val="21"/>
        </w:rPr>
        <w:t>5.</w:t>
      </w:r>
      <w:r>
        <w:rPr>
          <w:rFonts w:asciiTheme="minorHAnsi" w:hAnsiTheme="minorHAnsi" w:eastAsiaTheme="minorEastAsia" w:cstheme="minorBidi"/>
          <w:sz w:val="21"/>
        </w:rPr>
        <w:tab/>
      </w:r>
      <w:r>
        <w:rPr>
          <w:rStyle w:val="21"/>
        </w:rPr>
        <w:t>建筑单体设计控制要求</w:t>
      </w:r>
      <w:r>
        <w:tab/>
      </w:r>
      <w:r>
        <w:fldChar w:fldCharType="begin"/>
      </w:r>
      <w:r>
        <w:instrText xml:space="preserve"> PAGEREF _Toc523230045 \h </w:instrText>
      </w:r>
      <w:r>
        <w:fldChar w:fldCharType="separate"/>
      </w:r>
      <w:r>
        <w:t>28</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"_Toc523230046" </w:instrText>
      </w:r>
      <w:r>
        <w:fldChar w:fldCharType="separate"/>
      </w:r>
      <w:r>
        <w:rPr>
          <w:rStyle w:val="21"/>
          <w:lang w:bidi="en-US"/>
        </w:rPr>
        <w:t>5.1</w:t>
      </w:r>
      <w:r>
        <w:rPr>
          <w:rFonts w:asciiTheme="minorHAnsi" w:hAnsiTheme="minorHAnsi" w:eastAsiaTheme="minorEastAsia" w:cstheme="minorBidi"/>
          <w:sz w:val="21"/>
        </w:rPr>
        <w:tab/>
      </w:r>
      <w:r>
        <w:rPr>
          <w:rStyle w:val="21"/>
          <w:lang w:bidi="en-US"/>
        </w:rPr>
        <w:t>建筑高度控制</w:t>
      </w:r>
      <w:r>
        <w:tab/>
      </w:r>
      <w:r>
        <w:fldChar w:fldCharType="begin"/>
      </w:r>
      <w:r>
        <w:instrText xml:space="preserve"> PAGEREF _Toc523230046 \h </w:instrText>
      </w:r>
      <w:r>
        <w:fldChar w:fldCharType="separate"/>
      </w:r>
      <w:r>
        <w:t>28</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"_Toc523230047" </w:instrText>
      </w:r>
      <w:r>
        <w:fldChar w:fldCharType="separate"/>
      </w:r>
      <w:r>
        <w:rPr>
          <w:rStyle w:val="21"/>
          <w:lang w:bidi="en-US"/>
        </w:rPr>
        <w:t>5.2</w:t>
      </w:r>
      <w:r>
        <w:rPr>
          <w:rFonts w:asciiTheme="minorHAnsi" w:hAnsiTheme="minorHAnsi" w:eastAsiaTheme="minorEastAsia" w:cstheme="minorBidi"/>
          <w:sz w:val="21"/>
        </w:rPr>
        <w:tab/>
      </w:r>
      <w:r>
        <w:rPr>
          <w:rStyle w:val="21"/>
          <w:lang w:bidi="en-US"/>
        </w:rPr>
        <w:t>建筑物面宽控制</w:t>
      </w:r>
      <w:r>
        <w:tab/>
      </w:r>
      <w:r>
        <w:fldChar w:fldCharType="begin"/>
      </w:r>
      <w:r>
        <w:instrText xml:space="preserve"> PAGEREF _Toc523230047 \h </w:instrText>
      </w:r>
      <w:r>
        <w:fldChar w:fldCharType="separate"/>
      </w:r>
      <w:r>
        <w:t>28</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"_Toc523230048" </w:instrText>
      </w:r>
      <w:r>
        <w:fldChar w:fldCharType="separate"/>
      </w:r>
      <w:r>
        <w:rPr>
          <w:rStyle w:val="21"/>
          <w:lang w:bidi="en-US"/>
        </w:rPr>
        <w:t>5.3</w:t>
      </w:r>
      <w:r>
        <w:rPr>
          <w:rFonts w:asciiTheme="minorHAnsi" w:hAnsiTheme="minorHAnsi" w:eastAsiaTheme="minorEastAsia" w:cstheme="minorBidi"/>
          <w:sz w:val="21"/>
        </w:rPr>
        <w:tab/>
      </w:r>
      <w:r>
        <w:rPr>
          <w:rStyle w:val="21"/>
          <w:lang w:bidi="en-US"/>
        </w:rPr>
        <w:t>建筑物层高控制</w:t>
      </w:r>
      <w:r>
        <w:tab/>
      </w:r>
      <w:r>
        <w:fldChar w:fldCharType="begin"/>
      </w:r>
      <w:r>
        <w:instrText xml:space="preserve"> PAGEREF _Toc523230048 \h </w:instrText>
      </w:r>
      <w:r>
        <w:fldChar w:fldCharType="separate"/>
      </w:r>
      <w:r>
        <w:t>29</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"_Toc523230049" </w:instrText>
      </w:r>
      <w:r>
        <w:fldChar w:fldCharType="separate"/>
      </w:r>
      <w:r>
        <w:rPr>
          <w:rStyle w:val="21"/>
        </w:rPr>
        <w:t>6.</w:t>
      </w:r>
      <w:r>
        <w:rPr>
          <w:rFonts w:asciiTheme="minorHAnsi" w:hAnsiTheme="minorHAnsi" w:eastAsiaTheme="minorEastAsia" w:cstheme="minorBidi"/>
          <w:sz w:val="21"/>
        </w:rPr>
        <w:tab/>
      </w:r>
      <w:r>
        <w:rPr>
          <w:rStyle w:val="21"/>
        </w:rPr>
        <w:t>城市景观环境控制</w:t>
      </w:r>
      <w:r>
        <w:tab/>
      </w:r>
      <w:r>
        <w:fldChar w:fldCharType="begin"/>
      </w:r>
      <w:r>
        <w:instrText xml:space="preserve"> PAGEREF _Toc523230049 \h </w:instrText>
      </w:r>
      <w:r>
        <w:fldChar w:fldCharType="separate"/>
      </w:r>
      <w:r>
        <w:t>30</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"_Toc523230050" </w:instrText>
      </w:r>
      <w:r>
        <w:fldChar w:fldCharType="separate"/>
      </w:r>
      <w:r>
        <w:rPr>
          <w:rStyle w:val="21"/>
          <w:lang w:bidi="en-US"/>
        </w:rPr>
        <w:t>6.1</w:t>
      </w:r>
      <w:r>
        <w:rPr>
          <w:rFonts w:asciiTheme="minorHAnsi" w:hAnsiTheme="minorHAnsi" w:eastAsiaTheme="minorEastAsia" w:cstheme="minorBidi"/>
          <w:sz w:val="21"/>
        </w:rPr>
        <w:tab/>
      </w:r>
      <w:r>
        <w:rPr>
          <w:rStyle w:val="21"/>
          <w:lang w:bidi="en-US"/>
        </w:rPr>
        <w:t>城市建筑景观设计</w:t>
      </w:r>
      <w:r>
        <w:tab/>
      </w:r>
      <w:r>
        <w:fldChar w:fldCharType="begin"/>
      </w:r>
      <w:r>
        <w:instrText xml:space="preserve"> PAGEREF _Toc523230050 \h </w:instrText>
      </w:r>
      <w:r>
        <w:fldChar w:fldCharType="separate"/>
      </w:r>
      <w:r>
        <w:t>30</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"_Toc523230051" </w:instrText>
      </w:r>
      <w:r>
        <w:fldChar w:fldCharType="separate"/>
      </w:r>
      <w:r>
        <w:rPr>
          <w:rStyle w:val="21"/>
          <w:lang w:bidi="en-US"/>
        </w:rPr>
        <w:t>6.2</w:t>
      </w:r>
      <w:r>
        <w:rPr>
          <w:rFonts w:asciiTheme="minorHAnsi" w:hAnsiTheme="minorHAnsi" w:eastAsiaTheme="minorEastAsia" w:cstheme="minorBidi"/>
          <w:sz w:val="21"/>
        </w:rPr>
        <w:tab/>
      </w:r>
      <w:r>
        <w:rPr>
          <w:rStyle w:val="21"/>
          <w:lang w:bidi="en-US"/>
        </w:rPr>
        <w:t>建筑物夜景灯光设计</w:t>
      </w:r>
      <w:r>
        <w:tab/>
      </w:r>
      <w:r>
        <w:fldChar w:fldCharType="begin"/>
      </w:r>
      <w:r>
        <w:instrText xml:space="preserve"> PAGEREF _Toc523230051 \h </w:instrText>
      </w:r>
      <w:r>
        <w:fldChar w:fldCharType="separate"/>
      </w:r>
      <w:r>
        <w:t>31</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"_Toc523230052" </w:instrText>
      </w:r>
      <w:r>
        <w:fldChar w:fldCharType="separate"/>
      </w:r>
      <w:r>
        <w:rPr>
          <w:rStyle w:val="21"/>
          <w:lang w:bidi="en-US"/>
        </w:rPr>
        <w:t>6.3</w:t>
      </w:r>
      <w:r>
        <w:rPr>
          <w:rFonts w:asciiTheme="minorHAnsi" w:hAnsiTheme="minorHAnsi" w:eastAsiaTheme="minorEastAsia" w:cstheme="minorBidi"/>
          <w:sz w:val="21"/>
        </w:rPr>
        <w:tab/>
      </w:r>
      <w:r>
        <w:rPr>
          <w:rStyle w:val="21"/>
          <w:lang w:bidi="en-US"/>
        </w:rPr>
        <w:t>建筑围墙景观控制</w:t>
      </w:r>
      <w:r>
        <w:tab/>
      </w:r>
      <w:r>
        <w:fldChar w:fldCharType="begin"/>
      </w:r>
      <w:r>
        <w:instrText xml:space="preserve"> PAGEREF _Toc523230052 \h </w:instrText>
      </w:r>
      <w:r>
        <w:fldChar w:fldCharType="separate"/>
      </w:r>
      <w:r>
        <w:t>33</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"_Toc523230053" </w:instrText>
      </w:r>
      <w:r>
        <w:fldChar w:fldCharType="separate"/>
      </w:r>
      <w:r>
        <w:rPr>
          <w:rStyle w:val="21"/>
          <w:lang w:bidi="en-US"/>
        </w:rPr>
        <w:t>6.4</w:t>
      </w:r>
      <w:r>
        <w:rPr>
          <w:rFonts w:asciiTheme="minorHAnsi" w:hAnsiTheme="minorHAnsi" w:eastAsiaTheme="minorEastAsia" w:cstheme="minorBidi"/>
          <w:sz w:val="21"/>
        </w:rPr>
        <w:tab/>
      </w:r>
      <w:r>
        <w:rPr>
          <w:rStyle w:val="21"/>
          <w:lang w:bidi="en-US"/>
        </w:rPr>
        <w:t>城乡雕塑和建筑小品设置要求</w:t>
      </w:r>
      <w:r>
        <w:tab/>
      </w:r>
      <w:r>
        <w:fldChar w:fldCharType="begin"/>
      </w:r>
      <w:r>
        <w:instrText xml:space="preserve"> PAGEREF _Toc523230053 \h </w:instrText>
      </w:r>
      <w:r>
        <w:fldChar w:fldCharType="separate"/>
      </w:r>
      <w:r>
        <w:t>33</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"_Toc523230054" </w:instrText>
      </w:r>
      <w:r>
        <w:fldChar w:fldCharType="separate"/>
      </w:r>
      <w:r>
        <w:rPr>
          <w:rStyle w:val="21"/>
        </w:rPr>
        <w:t>7.</w:t>
      </w:r>
      <w:r>
        <w:rPr>
          <w:rFonts w:asciiTheme="minorHAnsi" w:hAnsiTheme="minorHAnsi" w:eastAsiaTheme="minorEastAsia" w:cstheme="minorBidi"/>
          <w:sz w:val="21"/>
        </w:rPr>
        <w:tab/>
      </w:r>
      <w:r>
        <w:rPr>
          <w:rStyle w:val="21"/>
        </w:rPr>
        <w:t>用地竖向设计与地下空间利用</w:t>
      </w:r>
      <w:r>
        <w:tab/>
      </w:r>
      <w:r>
        <w:fldChar w:fldCharType="begin"/>
      </w:r>
      <w:r>
        <w:instrText xml:space="preserve"> PAGEREF _Toc523230054 \h </w:instrText>
      </w:r>
      <w:r>
        <w:fldChar w:fldCharType="separate"/>
      </w:r>
      <w:r>
        <w:t>35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"_Toc523230055" </w:instrText>
      </w:r>
      <w:r>
        <w:fldChar w:fldCharType="separate"/>
      </w:r>
      <w:r>
        <w:rPr>
          <w:rStyle w:val="21"/>
          <w:lang w:bidi="en-US"/>
        </w:rPr>
        <w:t>7.1</w:t>
      </w:r>
      <w:r>
        <w:rPr>
          <w:rFonts w:asciiTheme="minorHAnsi" w:hAnsiTheme="minorHAnsi" w:eastAsiaTheme="minorEastAsia" w:cstheme="minorBidi"/>
          <w:sz w:val="21"/>
        </w:rPr>
        <w:tab/>
      </w:r>
      <w:r>
        <w:rPr>
          <w:rStyle w:val="21"/>
          <w:lang w:bidi="en-US"/>
        </w:rPr>
        <w:t>建设用地竖向设计一般要求</w:t>
      </w:r>
      <w:r>
        <w:tab/>
      </w:r>
      <w:r>
        <w:fldChar w:fldCharType="begin"/>
      </w:r>
      <w:r>
        <w:instrText xml:space="preserve"> PAGEREF _Toc523230055 \h </w:instrText>
      </w:r>
      <w:r>
        <w:fldChar w:fldCharType="separate"/>
      </w:r>
      <w:r>
        <w:t>35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"_Toc523230056" </w:instrText>
      </w:r>
      <w:r>
        <w:fldChar w:fldCharType="separate"/>
      </w:r>
      <w:r>
        <w:rPr>
          <w:rStyle w:val="21"/>
          <w:lang w:bidi="en-US"/>
        </w:rPr>
        <w:t>7.2</w:t>
      </w:r>
      <w:r>
        <w:rPr>
          <w:rFonts w:asciiTheme="minorHAnsi" w:hAnsiTheme="minorHAnsi" w:eastAsiaTheme="minorEastAsia" w:cstheme="minorBidi"/>
          <w:sz w:val="21"/>
        </w:rPr>
        <w:tab/>
      </w:r>
      <w:r>
        <w:rPr>
          <w:rStyle w:val="21"/>
          <w:lang w:bidi="en-US"/>
        </w:rPr>
        <w:t>建设用地室外自然地坪的设计要求</w:t>
      </w:r>
      <w:r>
        <w:tab/>
      </w:r>
      <w:r>
        <w:fldChar w:fldCharType="begin"/>
      </w:r>
      <w:r>
        <w:instrText xml:space="preserve"> PAGEREF _Toc523230056 \h </w:instrText>
      </w:r>
      <w:r>
        <w:fldChar w:fldCharType="separate"/>
      </w:r>
      <w:r>
        <w:t>35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"_Toc523230057" </w:instrText>
      </w:r>
      <w:r>
        <w:fldChar w:fldCharType="separate"/>
      </w:r>
      <w:r>
        <w:rPr>
          <w:rStyle w:val="21"/>
          <w:lang w:bidi="en-US"/>
        </w:rPr>
        <w:t>7.3</w:t>
      </w:r>
      <w:r>
        <w:rPr>
          <w:rFonts w:asciiTheme="minorHAnsi" w:hAnsiTheme="minorHAnsi" w:eastAsiaTheme="minorEastAsia" w:cstheme="minorBidi"/>
          <w:sz w:val="21"/>
        </w:rPr>
        <w:tab/>
      </w:r>
      <w:r>
        <w:rPr>
          <w:rStyle w:val="21"/>
          <w:lang w:bidi="en-US"/>
        </w:rPr>
        <w:t>地下空间利用一般要求</w:t>
      </w:r>
      <w:r>
        <w:tab/>
      </w:r>
      <w:r>
        <w:fldChar w:fldCharType="begin"/>
      </w:r>
      <w:r>
        <w:instrText xml:space="preserve"> PAGEREF _Toc523230057 \h </w:instrText>
      </w:r>
      <w:r>
        <w:fldChar w:fldCharType="separate"/>
      </w:r>
      <w:r>
        <w:t>37</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"_Toc523230058" </w:instrText>
      </w:r>
      <w:r>
        <w:fldChar w:fldCharType="separate"/>
      </w:r>
      <w:r>
        <w:rPr>
          <w:rStyle w:val="21"/>
          <w:lang w:bidi="en-US"/>
        </w:rPr>
        <w:t>7.4</w:t>
      </w:r>
      <w:r>
        <w:rPr>
          <w:rFonts w:asciiTheme="minorHAnsi" w:hAnsiTheme="minorHAnsi" w:eastAsiaTheme="minorEastAsia" w:cstheme="minorBidi"/>
          <w:sz w:val="21"/>
        </w:rPr>
        <w:tab/>
      </w:r>
      <w:r>
        <w:rPr>
          <w:rStyle w:val="21"/>
          <w:lang w:bidi="en-US"/>
        </w:rPr>
        <w:t>行人过街通道</w:t>
      </w:r>
      <w:r>
        <w:tab/>
      </w:r>
      <w:r>
        <w:fldChar w:fldCharType="begin"/>
      </w:r>
      <w:r>
        <w:instrText xml:space="preserve"> PAGEREF _Toc523230058 \h </w:instrText>
      </w:r>
      <w:r>
        <w:fldChar w:fldCharType="separate"/>
      </w:r>
      <w:r>
        <w:t>37</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"_Toc523230059" </w:instrText>
      </w:r>
      <w:r>
        <w:fldChar w:fldCharType="separate"/>
      </w:r>
      <w:r>
        <w:rPr>
          <w:rStyle w:val="21"/>
          <w:lang w:bidi="en-US"/>
        </w:rPr>
        <w:t>7.5</w:t>
      </w:r>
      <w:r>
        <w:rPr>
          <w:rFonts w:asciiTheme="minorHAnsi" w:hAnsiTheme="minorHAnsi" w:eastAsiaTheme="minorEastAsia" w:cstheme="minorBidi"/>
          <w:sz w:val="21"/>
        </w:rPr>
        <w:tab/>
      </w:r>
      <w:r>
        <w:rPr>
          <w:rStyle w:val="21"/>
          <w:lang w:bidi="en-US"/>
        </w:rPr>
        <w:t>地下街</w:t>
      </w:r>
      <w:r>
        <w:tab/>
      </w:r>
      <w:r>
        <w:fldChar w:fldCharType="begin"/>
      </w:r>
      <w:r>
        <w:instrText xml:space="preserve"> PAGEREF _Toc523230059 \h </w:instrText>
      </w:r>
      <w:r>
        <w:fldChar w:fldCharType="separate"/>
      </w:r>
      <w:r>
        <w:t>38</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"_Toc523230060" </w:instrText>
      </w:r>
      <w:r>
        <w:fldChar w:fldCharType="separate"/>
      </w:r>
      <w:r>
        <w:rPr>
          <w:rStyle w:val="21"/>
          <w:lang w:bidi="en-US"/>
        </w:rPr>
        <w:t>7.6</w:t>
      </w:r>
      <w:r>
        <w:rPr>
          <w:rFonts w:asciiTheme="minorHAnsi" w:hAnsiTheme="minorHAnsi" w:eastAsiaTheme="minorEastAsia" w:cstheme="minorBidi"/>
          <w:sz w:val="21"/>
        </w:rPr>
        <w:tab/>
      </w:r>
      <w:r>
        <w:rPr>
          <w:rStyle w:val="21"/>
          <w:lang w:bidi="en-US"/>
        </w:rPr>
        <w:t>地下停车场</w:t>
      </w:r>
      <w:r>
        <w:tab/>
      </w:r>
      <w:r>
        <w:fldChar w:fldCharType="begin"/>
      </w:r>
      <w:r>
        <w:instrText xml:space="preserve"> PAGEREF _Toc523230060 \h </w:instrText>
      </w:r>
      <w:r>
        <w:fldChar w:fldCharType="separate"/>
      </w:r>
      <w:r>
        <w:t>39</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"_Toc523230061" </w:instrText>
      </w:r>
      <w:r>
        <w:fldChar w:fldCharType="separate"/>
      </w:r>
      <w:r>
        <w:rPr>
          <w:rStyle w:val="21"/>
        </w:rPr>
        <w:t>8.</w:t>
      </w:r>
      <w:r>
        <w:rPr>
          <w:rFonts w:asciiTheme="minorHAnsi" w:hAnsiTheme="minorHAnsi" w:eastAsiaTheme="minorEastAsia" w:cstheme="minorBidi"/>
          <w:sz w:val="21"/>
        </w:rPr>
        <w:tab/>
      </w:r>
      <w:r>
        <w:rPr>
          <w:rStyle w:val="21"/>
        </w:rPr>
        <w:t>附则</w:t>
      </w:r>
      <w:r>
        <w:tab/>
      </w:r>
      <w:r>
        <w:fldChar w:fldCharType="begin"/>
      </w:r>
      <w:r>
        <w:instrText xml:space="preserve"> PAGEREF _Toc523230061 \h </w:instrText>
      </w:r>
      <w:r>
        <w:fldChar w:fldCharType="separate"/>
      </w:r>
      <w:r>
        <w:t>40</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"_Toc523230062" </w:instrText>
      </w:r>
      <w:r>
        <w:fldChar w:fldCharType="separate"/>
      </w:r>
      <w:r>
        <w:rPr>
          <w:rStyle w:val="21"/>
        </w:rPr>
        <w:t>9.</w:t>
      </w:r>
      <w:r>
        <w:rPr>
          <w:rFonts w:asciiTheme="minorHAnsi" w:hAnsiTheme="minorHAnsi" w:eastAsiaTheme="minorEastAsia" w:cstheme="minorBidi"/>
          <w:sz w:val="21"/>
        </w:rPr>
        <w:tab/>
      </w:r>
      <w:r>
        <w:rPr>
          <w:rStyle w:val="21"/>
        </w:rPr>
        <w:t>附录</w:t>
      </w:r>
      <w:r>
        <w:tab/>
      </w:r>
      <w:r>
        <w:fldChar w:fldCharType="begin"/>
      </w:r>
      <w:r>
        <w:instrText xml:space="preserve"> PAGEREF _Toc523230062 \h </w:instrText>
      </w:r>
      <w:r>
        <w:fldChar w:fldCharType="separate"/>
      </w:r>
      <w:r>
        <w:t>41</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"_Toc523230063" </w:instrText>
      </w:r>
      <w:r>
        <w:fldChar w:fldCharType="separate"/>
      </w:r>
      <w:r>
        <w:rPr>
          <w:rStyle w:val="21"/>
          <w:lang w:bidi="en-US"/>
        </w:rPr>
        <w:t>9.1</w:t>
      </w:r>
      <w:r>
        <w:rPr>
          <w:rFonts w:asciiTheme="minorHAnsi" w:hAnsiTheme="minorHAnsi" w:eastAsiaTheme="minorEastAsia" w:cstheme="minorBidi"/>
          <w:sz w:val="21"/>
        </w:rPr>
        <w:tab/>
      </w:r>
      <w:r>
        <w:rPr>
          <w:rStyle w:val="21"/>
          <w:lang w:bidi="en-US"/>
        </w:rPr>
        <w:t>计算规则</w:t>
      </w:r>
      <w:r>
        <w:tab/>
      </w:r>
      <w:r>
        <w:fldChar w:fldCharType="begin"/>
      </w:r>
      <w:r>
        <w:instrText xml:space="preserve"> PAGEREF _Toc523230063 \h </w:instrText>
      </w:r>
      <w:r>
        <w:fldChar w:fldCharType="separate"/>
      </w:r>
      <w:r>
        <w:t>41</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"_Toc523230064" </w:instrText>
      </w:r>
      <w:r>
        <w:fldChar w:fldCharType="separate"/>
      </w:r>
      <w:r>
        <w:rPr>
          <w:rStyle w:val="21"/>
          <w:lang w:bidi="en-US"/>
        </w:rPr>
        <w:t>9.2</w:t>
      </w:r>
      <w:r>
        <w:rPr>
          <w:rFonts w:asciiTheme="minorHAnsi" w:hAnsiTheme="minorHAnsi" w:eastAsiaTheme="minorEastAsia" w:cstheme="minorBidi"/>
          <w:sz w:val="21"/>
        </w:rPr>
        <w:tab/>
      </w:r>
      <w:r>
        <w:rPr>
          <w:rStyle w:val="21"/>
          <w:lang w:bidi="en-US"/>
        </w:rPr>
        <w:t>名词解释</w:t>
      </w:r>
      <w:r>
        <w:tab/>
      </w:r>
      <w:r>
        <w:fldChar w:fldCharType="begin"/>
      </w:r>
      <w:r>
        <w:instrText xml:space="preserve"> PAGEREF _Toc523230064 \h </w:instrText>
      </w:r>
      <w:r>
        <w:fldChar w:fldCharType="separate"/>
      </w:r>
      <w:r>
        <w:t>44</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"_Toc523230065" </w:instrText>
      </w:r>
      <w:r>
        <w:fldChar w:fldCharType="separate"/>
      </w:r>
      <w:r>
        <w:rPr>
          <w:rStyle w:val="21"/>
          <w:lang w:bidi="en-US"/>
        </w:rPr>
        <w:t>9.3</w:t>
      </w:r>
      <w:r>
        <w:rPr>
          <w:rFonts w:asciiTheme="minorHAnsi" w:hAnsiTheme="minorHAnsi" w:eastAsiaTheme="minorEastAsia" w:cstheme="minorBidi"/>
          <w:sz w:val="21"/>
        </w:rPr>
        <w:tab/>
      </w:r>
      <w:r>
        <w:rPr>
          <w:rStyle w:val="21"/>
          <w:lang w:bidi="en-US"/>
        </w:rPr>
        <w:t>用词说明</w:t>
      </w:r>
      <w:r>
        <w:tab/>
      </w:r>
      <w:r>
        <w:fldChar w:fldCharType="begin"/>
      </w:r>
      <w:r>
        <w:instrText xml:space="preserve"> PAGEREF _Toc523230065 \h </w:instrText>
      </w:r>
      <w:r>
        <w:fldChar w:fldCharType="separate"/>
      </w:r>
      <w:r>
        <w:t>47</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"_Toc523230066" </w:instrText>
      </w:r>
      <w:r>
        <w:fldChar w:fldCharType="separate"/>
      </w:r>
      <w:r>
        <w:rPr>
          <w:rStyle w:val="21"/>
          <w:lang w:bidi="en-US"/>
        </w:rPr>
        <w:t>9.4</w:t>
      </w:r>
      <w:r>
        <w:rPr>
          <w:rFonts w:asciiTheme="minorHAnsi" w:hAnsiTheme="minorHAnsi" w:eastAsiaTheme="minorEastAsia" w:cstheme="minorBidi"/>
          <w:sz w:val="21"/>
        </w:rPr>
        <w:tab/>
      </w:r>
      <w:r>
        <w:rPr>
          <w:rStyle w:val="21"/>
          <w:lang w:bidi="en-US"/>
        </w:rPr>
        <w:t>中心城区旧城区范围图</w:t>
      </w:r>
      <w:r>
        <w:tab/>
      </w:r>
      <w:r>
        <w:fldChar w:fldCharType="begin"/>
      </w:r>
      <w:r>
        <w:instrText xml:space="preserve"> PAGEREF _Toc523230066 \h </w:instrText>
      </w:r>
      <w:r>
        <w:fldChar w:fldCharType="separate"/>
      </w:r>
      <w:r>
        <w:t>48</w:t>
      </w:r>
      <w:r>
        <w:fldChar w:fldCharType="end"/>
      </w:r>
      <w:r>
        <w:fldChar w:fldCharType="end"/>
      </w:r>
    </w:p>
    <w:p>
      <w:r>
        <w:fldChar w:fldCharType="end"/>
      </w:r>
    </w:p>
    <w:p/>
    <w:p>
      <w:pPr>
        <w:pStyle w:val="2"/>
        <w:numPr>
          <w:ilvl w:val="0"/>
          <w:numId w:val="1"/>
        </w:numPr>
        <w:ind w:left="781" w:hanging="781"/>
        <w:sectPr>
          <w:footerReference r:id="rId4" w:type="default"/>
          <w:pgSz w:w="11906" w:h="16838"/>
          <w:pgMar w:top="1418" w:right="1134" w:bottom="1418" w:left="1134" w:header="851" w:footer="680" w:gutter="284"/>
          <w:pgNumType w:fmt="lowerRoman" w:start="1"/>
          <w:cols w:space="425" w:num="1"/>
          <w:docGrid w:type="lines" w:linePitch="538" w:charSpace="0"/>
        </w:sectPr>
      </w:pPr>
    </w:p>
    <w:p>
      <w:pPr>
        <w:pStyle w:val="2"/>
        <w:numPr>
          <w:ilvl w:val="0"/>
          <w:numId w:val="1"/>
        </w:numPr>
        <w:ind w:left="781" w:hanging="781"/>
      </w:pPr>
      <w:bookmarkStart w:id="0" w:name="_Toc523230024"/>
      <w:r>
        <w:rPr>
          <w:rFonts w:hint="eastAsia"/>
        </w:rPr>
        <w:t>总  则</w:t>
      </w:r>
      <w:bookmarkEnd w:id="0"/>
    </w:p>
    <w:p>
      <w:pPr>
        <w:pStyle w:val="22"/>
        <w:numPr>
          <w:ilvl w:val="2"/>
          <w:numId w:val="2"/>
        </w:numPr>
        <w:ind w:left="0" w:firstLine="560"/>
      </w:pPr>
      <w:r>
        <w:rPr>
          <w:rFonts w:hint="eastAsia"/>
        </w:rPr>
        <w:t>为贯彻落实《中华人民共和国城乡规划法》和《广东省城乡规划条例》，提高吴川市城乡规划建设管理水平，实现城乡规划编制和管理的标准化、规范化，科学、合理、有效地利用城乡土地和空间，特制定《吴川市城乡规划管理技术规定》（以下简称技术规定）。</w:t>
      </w:r>
    </w:p>
    <w:p>
      <w:pPr>
        <w:pStyle w:val="22"/>
        <w:numPr>
          <w:ilvl w:val="2"/>
          <w:numId w:val="2"/>
        </w:numPr>
        <w:ind w:left="0" w:firstLine="560"/>
      </w:pPr>
      <w:r>
        <w:rPr>
          <w:rFonts w:hint="eastAsia"/>
        </w:rPr>
        <w:t>依据国家和广东省城乡规划相关法律、法规、规范和标准，参照湛江市城市规划管理技术规定，结合吴川城乡发展要求和建设的实际情况制定本技术规定。</w:t>
      </w:r>
    </w:p>
    <w:p>
      <w:pPr>
        <w:pStyle w:val="22"/>
        <w:numPr>
          <w:ilvl w:val="2"/>
          <w:numId w:val="2"/>
        </w:numPr>
        <w:ind w:left="0" w:firstLine="560"/>
      </w:pPr>
      <w:r>
        <w:rPr>
          <w:rFonts w:hint="eastAsia"/>
        </w:rPr>
        <w:t>本技术规定尚未涵盖到的有关规划管理技术性内容，应按国家和广东省现行的相关规范和标准执行。</w:t>
      </w:r>
    </w:p>
    <w:p>
      <w:pPr>
        <w:pStyle w:val="22"/>
        <w:numPr>
          <w:ilvl w:val="2"/>
          <w:numId w:val="2"/>
        </w:numPr>
        <w:ind w:left="0" w:firstLine="560"/>
      </w:pPr>
      <w:r>
        <w:rPr>
          <w:rFonts w:hint="eastAsia"/>
        </w:rPr>
        <w:t>本技术规定作为吴川市城乡规划编制和管理的技术依据，吴川市的各项建设活动及城乡规划设计和管理工作均应按本技术规定的相关要求执行。</w:t>
      </w:r>
    </w:p>
    <w:p>
      <w:pPr>
        <w:pStyle w:val="22"/>
        <w:numPr>
          <w:ilvl w:val="2"/>
          <w:numId w:val="2"/>
        </w:numPr>
        <w:ind w:left="0" w:firstLine="560"/>
      </w:pPr>
      <w:r>
        <w:rPr>
          <w:rFonts w:hint="eastAsia"/>
        </w:rPr>
        <w:t>本技术规定不适用于个人自建自住房屋的规划建设，个人自建自住房屋规划建设另行规定。</w:t>
      </w:r>
    </w:p>
    <w:p>
      <w:pPr>
        <w:pStyle w:val="22"/>
        <w:numPr>
          <w:ilvl w:val="2"/>
          <w:numId w:val="2"/>
        </w:numPr>
        <w:ind w:left="0" w:firstLine="560"/>
      </w:pPr>
      <w:r>
        <w:rPr>
          <w:rFonts w:hint="eastAsia"/>
        </w:rPr>
        <w:t>本技术规定在施行过程中如需增补或修订的，应按相关的法定程序进行。</w:t>
      </w:r>
    </w:p>
    <w:p>
      <w:pPr>
        <w:pStyle w:val="22"/>
        <w:numPr>
          <w:ilvl w:val="2"/>
          <w:numId w:val="2"/>
        </w:numPr>
        <w:ind w:left="0" w:firstLine="560"/>
        <w:rPr>
          <w:rFonts w:asciiTheme="minorEastAsia" w:hAnsiTheme="minorEastAsia" w:eastAsiaTheme="minorEastAsia"/>
        </w:rPr>
      </w:pPr>
      <w:r>
        <w:rPr>
          <w:rFonts w:hint="eastAsia" w:cs="宋体" w:asciiTheme="minorEastAsia" w:hAnsiTheme="minorEastAsia" w:eastAsiaTheme="minorEastAsia"/>
          <w:kern w:val="0"/>
          <w:szCs w:val="28"/>
          <w:lang w:val="zh-CN"/>
        </w:rPr>
        <w:t>本技术规定实行动态修订，以保障其适用性和适度超前性。市城</w:t>
      </w:r>
      <w:r>
        <w:rPr>
          <w:rFonts w:hint="eastAsia" w:cs="宋体" w:asciiTheme="minorEastAsia" w:hAnsiTheme="minorEastAsia" w:eastAsiaTheme="minorEastAsia"/>
          <w:kern w:val="0"/>
          <w:szCs w:val="28"/>
        </w:rPr>
        <w:t>乡</w:t>
      </w:r>
      <w:r>
        <w:rPr>
          <w:rFonts w:hint="eastAsia" w:cs="宋体" w:asciiTheme="minorEastAsia" w:hAnsiTheme="minorEastAsia" w:eastAsiaTheme="minorEastAsia"/>
          <w:kern w:val="0"/>
          <w:szCs w:val="28"/>
          <w:lang w:val="zh-CN"/>
        </w:rPr>
        <w:t>规划主管部门可每两年组织整体修订，上报</w:t>
      </w:r>
      <w:r>
        <w:rPr>
          <w:rFonts w:hint="eastAsia" w:cs="宋体" w:asciiTheme="minorEastAsia" w:hAnsiTheme="minorEastAsia" w:eastAsiaTheme="minorEastAsia"/>
          <w:kern w:val="0"/>
          <w:szCs w:val="28"/>
        </w:rPr>
        <w:t>吴川</w:t>
      </w:r>
      <w:r>
        <w:rPr>
          <w:rFonts w:hint="eastAsia" w:cs="宋体" w:asciiTheme="minorEastAsia" w:hAnsiTheme="minorEastAsia" w:eastAsiaTheme="minorEastAsia"/>
          <w:kern w:val="0"/>
          <w:szCs w:val="28"/>
          <w:lang w:val="zh-CN"/>
        </w:rPr>
        <w:t>市人民政府批准后施行；在此期间，市城</w:t>
      </w:r>
      <w:r>
        <w:rPr>
          <w:rFonts w:hint="eastAsia" w:cs="宋体" w:asciiTheme="minorEastAsia" w:hAnsiTheme="minorEastAsia" w:eastAsiaTheme="minorEastAsia"/>
          <w:kern w:val="0"/>
          <w:szCs w:val="28"/>
        </w:rPr>
        <w:t>乡</w:t>
      </w:r>
      <w:r>
        <w:rPr>
          <w:rFonts w:hint="eastAsia" w:cs="宋体" w:asciiTheme="minorEastAsia" w:hAnsiTheme="minorEastAsia" w:eastAsiaTheme="minorEastAsia"/>
          <w:kern w:val="0"/>
          <w:szCs w:val="28"/>
          <w:lang w:val="zh-CN"/>
        </w:rPr>
        <w:t>规划行政主管部门可对局部章节和条款进行修订，上报吴川市人民政府备案后施行。</w:t>
      </w:r>
    </w:p>
    <w:p>
      <w:pPr>
        <w:pStyle w:val="22"/>
        <w:numPr>
          <w:ilvl w:val="2"/>
          <w:numId w:val="2"/>
        </w:numPr>
        <w:ind w:left="0" w:firstLine="560"/>
        <w:rPr>
          <w:rFonts w:asciiTheme="minorEastAsia" w:hAnsiTheme="minorEastAsia" w:eastAsiaTheme="minorEastAsia"/>
        </w:rPr>
      </w:pPr>
      <w:r>
        <w:rPr>
          <w:rFonts w:hint="eastAsia" w:cs="宋体" w:asciiTheme="minorEastAsia" w:hAnsiTheme="minorEastAsia" w:eastAsiaTheme="minorEastAsia"/>
          <w:kern w:val="0"/>
          <w:szCs w:val="28"/>
          <w:lang w:val="zh-CN"/>
        </w:rPr>
        <w:t>本技术规定解释权属</w:t>
      </w:r>
      <w:r>
        <w:rPr>
          <w:rFonts w:hint="eastAsia" w:cs="宋体" w:asciiTheme="minorEastAsia" w:hAnsiTheme="minorEastAsia" w:eastAsiaTheme="minorEastAsia"/>
          <w:kern w:val="0"/>
          <w:szCs w:val="28"/>
        </w:rPr>
        <w:t>吴川</w:t>
      </w:r>
      <w:r>
        <w:rPr>
          <w:rFonts w:hint="eastAsia" w:cs="宋体" w:asciiTheme="minorEastAsia" w:hAnsiTheme="minorEastAsia" w:eastAsiaTheme="minorEastAsia"/>
          <w:kern w:val="0"/>
          <w:szCs w:val="28"/>
          <w:lang w:val="zh-CN"/>
        </w:rPr>
        <w:t>市城</w:t>
      </w:r>
      <w:r>
        <w:rPr>
          <w:rFonts w:hint="eastAsia" w:cs="宋体" w:asciiTheme="minorEastAsia" w:hAnsiTheme="minorEastAsia" w:eastAsiaTheme="minorEastAsia"/>
          <w:kern w:val="0"/>
          <w:szCs w:val="28"/>
        </w:rPr>
        <w:t>乡</w:t>
      </w:r>
      <w:bookmarkStart w:id="43" w:name="_GoBack"/>
      <w:bookmarkEnd w:id="43"/>
      <w:r>
        <w:rPr>
          <w:rFonts w:hint="eastAsia" w:cs="宋体" w:asciiTheme="minorEastAsia" w:hAnsiTheme="minorEastAsia" w:eastAsiaTheme="minorEastAsia"/>
          <w:kern w:val="0"/>
          <w:szCs w:val="28"/>
          <w:lang w:val="zh-CN"/>
        </w:rPr>
        <w:t>规划主管部门。</w:t>
      </w:r>
    </w:p>
    <w:p>
      <w:pPr>
        <w:sectPr>
          <w:type w:val="nextColumn"/>
          <w:pgSz w:w="11906" w:h="16838"/>
          <w:pgMar w:top="1418" w:right="1134" w:bottom="1418" w:left="1134" w:header="851" w:footer="680" w:gutter="284"/>
          <w:pgNumType w:start="1"/>
          <w:cols w:space="425" w:num="1"/>
          <w:docGrid w:type="lines" w:linePitch="538" w:charSpace="0"/>
        </w:sectPr>
      </w:pPr>
    </w:p>
    <w:p>
      <w:pPr>
        <w:pStyle w:val="2"/>
        <w:numPr>
          <w:ilvl w:val="0"/>
          <w:numId w:val="1"/>
        </w:numPr>
        <w:ind w:left="781" w:hanging="781" w:hangingChars="217"/>
      </w:pPr>
      <w:bookmarkStart w:id="1" w:name="_Toc523230025"/>
      <w:r>
        <w:rPr>
          <w:rFonts w:hint="eastAsia"/>
        </w:rPr>
        <w:t>建设用地与开发强度</w:t>
      </w:r>
      <w:bookmarkEnd w:id="1"/>
    </w:p>
    <w:p>
      <w:pPr>
        <w:pStyle w:val="3"/>
        <w:numPr>
          <w:ilvl w:val="1"/>
          <w:numId w:val="1"/>
        </w:numPr>
        <w:ind w:left="941" w:hanging="940" w:hangingChars="294"/>
      </w:pPr>
      <w:bookmarkStart w:id="2" w:name="_Toc523230026"/>
      <w:r>
        <w:rPr>
          <w:rFonts w:hint="eastAsia"/>
        </w:rPr>
        <w:t>建设用地分类</w:t>
      </w:r>
      <w:bookmarkEnd w:id="2"/>
    </w:p>
    <w:p>
      <w:pPr>
        <w:pStyle w:val="22"/>
        <w:numPr>
          <w:ilvl w:val="2"/>
          <w:numId w:val="1"/>
        </w:numPr>
        <w:ind w:left="0" w:firstLine="560"/>
      </w:pPr>
      <w:r>
        <w:rPr>
          <w:rFonts w:hint="eastAsia"/>
        </w:rPr>
        <w:t>建设用地分类和代码按《城乡用地分类与规划建设用地标准》（GB50137—2011）的规定执行。在规划图纸中同一地类的大、中、小类代码不能同时出现使用。</w:t>
      </w:r>
    </w:p>
    <w:p>
      <w:pPr>
        <w:pStyle w:val="22"/>
        <w:numPr>
          <w:ilvl w:val="2"/>
          <w:numId w:val="1"/>
        </w:numPr>
        <w:ind w:left="0" w:firstLine="560"/>
      </w:pPr>
      <w:r>
        <w:rPr>
          <w:rFonts w:hint="eastAsia"/>
        </w:rPr>
        <w:t>规划选址和规划条件确定用地性质应以用地分类中类或小类进行划分，并标注类别代码。</w:t>
      </w:r>
    </w:p>
    <w:p>
      <w:pPr>
        <w:pStyle w:val="22"/>
        <w:numPr>
          <w:ilvl w:val="2"/>
          <w:numId w:val="1"/>
        </w:numPr>
        <w:ind w:left="0" w:firstLine="560"/>
      </w:pPr>
      <w:r>
        <w:rPr>
          <w:rFonts w:hint="eastAsia"/>
        </w:rPr>
        <w:t>建设用地按土地使用的主要性质进行分类，多种性质用地以其地面使用的主导设施性质进行分类。多种性质混合使用地块，其用地类别代码为各类土地用途代码并列，之间以符号“/”分隔。</w:t>
      </w:r>
    </w:p>
    <w:p>
      <w:pPr>
        <w:pStyle w:val="3"/>
        <w:numPr>
          <w:ilvl w:val="1"/>
          <w:numId w:val="1"/>
        </w:numPr>
        <w:ind w:left="941" w:hanging="940" w:hangingChars="294"/>
      </w:pPr>
      <w:bookmarkStart w:id="3" w:name="_Toc523230027"/>
      <w:r>
        <w:rPr>
          <w:rFonts w:hint="eastAsia"/>
        </w:rPr>
        <w:t>建设用地管理</w:t>
      </w:r>
      <w:bookmarkEnd w:id="3"/>
      <w:r>
        <w:rPr>
          <w:rFonts w:hint="eastAsia"/>
        </w:rPr>
        <w:t xml:space="preserve"> </w:t>
      </w:r>
    </w:p>
    <w:p>
      <w:pPr>
        <w:pStyle w:val="22"/>
        <w:numPr>
          <w:ilvl w:val="2"/>
          <w:numId w:val="1"/>
        </w:numPr>
        <w:ind w:left="0" w:firstLine="560"/>
      </w:pPr>
      <w:r>
        <w:rPr>
          <w:rFonts w:hint="eastAsia"/>
        </w:rPr>
        <w:t>应统筹安排各类建设项目和建设用地，完善功能布局，保护景观和生态资源、改善人居环境。新建项目建设用地宜以规划道路为界限，按城乡规划单元成片实施。</w:t>
      </w:r>
    </w:p>
    <w:p>
      <w:pPr>
        <w:pStyle w:val="22"/>
        <w:numPr>
          <w:ilvl w:val="2"/>
          <w:numId w:val="1"/>
        </w:numPr>
        <w:ind w:left="0" w:firstLine="560"/>
      </w:pPr>
      <w:r>
        <w:rPr>
          <w:rFonts w:hint="eastAsia"/>
        </w:rPr>
        <w:t>建设用地规划许可按经批准的控制性详细规划和建设用地兼容性确定建设用地使用性质。控制性详细规划对建设用地兼容性作出规定的， 按控制性详细规划执行。控制性详细规划未对建设用地兼容性作出规定的， 在不违反城市规划强制性内容的前提下，建设用地兼容性按表2.2.2规定执行。确需改变建设用地使用性质，且超出控制性详细规划和建设用地兼容性范围的，应先行依法修改控制性详细规划。位于生态敏感区、重要的景观区域或者可能造成较大环境影响、安全影响的，应进行专项技术论证。</w:t>
      </w:r>
    </w:p>
    <w:p>
      <w:pPr>
        <w:pStyle w:val="22"/>
        <w:numPr>
          <w:ilvl w:val="2"/>
          <w:numId w:val="1"/>
        </w:numPr>
        <w:ind w:left="0" w:firstLine="560"/>
      </w:pPr>
      <w:r>
        <w:rPr>
          <w:rFonts w:hint="eastAsia"/>
        </w:rPr>
        <w:t>建设用地范围内存在多种规划用地性质且规划要求单独占地的，应按控制性详细规划来划定土地使用性质分类，并在《建设用地规划许可证》中明确各类用地面积；不需要单独占地的，应在规划条件中明确规模及位置。</w:t>
      </w:r>
    </w:p>
    <w:p>
      <w:pPr>
        <w:pStyle w:val="6"/>
        <w:keepNext/>
        <w:rPr>
          <w:sz w:val="24"/>
          <w:szCs w:val="24"/>
        </w:rPr>
      </w:pPr>
      <w:r>
        <w:rPr>
          <w:sz w:val="24"/>
          <w:szCs w:val="24"/>
        </w:rPr>
        <w:t xml:space="preserve">表2.2.2 </w:t>
      </w:r>
      <w:r>
        <w:rPr>
          <w:rFonts w:hint="eastAsia"/>
          <w:sz w:val="24"/>
          <w:szCs w:val="24"/>
        </w:rPr>
        <w:t>城乡建设用地规划与兼容类型</w:t>
      </w:r>
    </w:p>
    <w:tbl>
      <w:tblPr>
        <w:tblStyle w:val="18"/>
        <w:tblW w:w="93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6"/>
        <w:gridCol w:w="500"/>
        <w:gridCol w:w="476"/>
        <w:gridCol w:w="477"/>
        <w:gridCol w:w="477"/>
        <w:gridCol w:w="477"/>
        <w:gridCol w:w="477"/>
        <w:gridCol w:w="477"/>
        <w:gridCol w:w="478"/>
        <w:gridCol w:w="478"/>
        <w:gridCol w:w="477"/>
        <w:gridCol w:w="478"/>
        <w:gridCol w:w="478"/>
        <w:gridCol w:w="478"/>
        <w:gridCol w:w="478"/>
        <w:gridCol w:w="478"/>
        <w:gridCol w:w="478"/>
        <w:gridCol w:w="478"/>
        <w:gridCol w:w="4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tblHeader/>
          <w:jc w:val="center"/>
        </w:trPr>
        <w:tc>
          <w:tcPr>
            <w:tcW w:w="1206" w:type="dxa"/>
            <w:gridSpan w:val="2"/>
            <w:vMerge w:val="restart"/>
            <w:tcBorders>
              <w:top w:val="single" w:color="auto" w:sz="12" w:space="0"/>
              <w:left w:val="single" w:color="auto" w:sz="12" w:space="0"/>
              <w:tl2br w:val="single" w:color="auto" w:sz="4" w:space="0"/>
            </w:tcBorders>
            <w:vAlign w:val="center"/>
          </w:tcPr>
          <w:p>
            <w:pPr>
              <w:spacing w:before="269" w:beforeLines="50" w:line="0" w:lineRule="atLeast"/>
              <w:jc w:val="right"/>
              <w:rPr>
                <w:rFonts w:hAnsi="宋体" w:cs="仿宋_GB2312"/>
                <w:b/>
                <w:sz w:val="18"/>
                <w:szCs w:val="18"/>
              </w:rPr>
            </w:pPr>
            <w:r>
              <w:rPr>
                <w:rFonts w:hint="eastAsia" w:hAnsi="宋体"/>
                <w:b/>
                <w:sz w:val="18"/>
                <w:szCs w:val="18"/>
              </w:rPr>
              <w:t xml:space="preserve">  </w:t>
            </w:r>
            <w:r>
              <w:rPr>
                <w:rFonts w:hint="eastAsia" w:hAnsi="宋体" w:cs="仿宋_GB2312"/>
                <w:b/>
                <w:sz w:val="18"/>
                <w:szCs w:val="18"/>
              </w:rPr>
              <w:t xml:space="preserve"> 兼容</w:t>
            </w:r>
          </w:p>
          <w:p>
            <w:pPr>
              <w:spacing w:line="0" w:lineRule="atLeast"/>
              <w:jc w:val="right"/>
              <w:rPr>
                <w:rFonts w:hAnsi="宋体" w:cs="仿宋_GB2312"/>
                <w:b/>
                <w:sz w:val="18"/>
                <w:szCs w:val="18"/>
              </w:rPr>
            </w:pPr>
            <w:r>
              <w:rPr>
                <w:rFonts w:hint="eastAsia" w:hAnsi="宋体" w:cs="仿宋_GB2312"/>
                <w:b/>
                <w:sz w:val="18"/>
                <w:szCs w:val="18"/>
              </w:rPr>
              <w:t>用地</w:t>
            </w:r>
          </w:p>
          <w:p>
            <w:pPr>
              <w:spacing w:line="0" w:lineRule="atLeast"/>
              <w:jc w:val="right"/>
              <w:rPr>
                <w:rFonts w:hAnsi="宋体" w:cs="仿宋_GB2312"/>
                <w:b/>
                <w:sz w:val="18"/>
                <w:szCs w:val="18"/>
              </w:rPr>
            </w:pPr>
            <w:r>
              <w:rPr>
                <w:rFonts w:hint="eastAsia" w:hAnsi="宋体" w:cs="仿宋_GB2312"/>
                <w:b/>
                <w:sz w:val="18"/>
                <w:szCs w:val="18"/>
              </w:rPr>
              <w:t>类型</w:t>
            </w:r>
          </w:p>
          <w:p>
            <w:pPr>
              <w:spacing w:line="0" w:lineRule="atLeast"/>
              <w:rPr>
                <w:rFonts w:hAnsi="宋体" w:cs="仿宋_GB2312"/>
                <w:b/>
                <w:sz w:val="18"/>
                <w:szCs w:val="18"/>
              </w:rPr>
            </w:pPr>
            <w:r>
              <w:rPr>
                <w:rFonts w:hint="eastAsia" w:hAnsi="宋体" w:cs="仿宋_GB2312"/>
                <w:b/>
                <w:sz w:val="18"/>
                <w:szCs w:val="18"/>
              </w:rPr>
              <w:t>规划</w:t>
            </w:r>
          </w:p>
          <w:p>
            <w:pPr>
              <w:spacing w:line="0" w:lineRule="atLeast"/>
              <w:rPr>
                <w:rFonts w:hAnsi="宋体" w:cs="仿宋_GB2312"/>
                <w:b/>
                <w:sz w:val="18"/>
                <w:szCs w:val="18"/>
              </w:rPr>
            </w:pPr>
            <w:r>
              <w:rPr>
                <w:rFonts w:hint="eastAsia" w:hAnsi="宋体" w:cs="仿宋_GB2312"/>
                <w:b/>
                <w:sz w:val="18"/>
                <w:szCs w:val="18"/>
              </w:rPr>
              <w:t>用地</w:t>
            </w:r>
          </w:p>
          <w:p>
            <w:pPr>
              <w:spacing w:line="0" w:lineRule="atLeast"/>
              <w:rPr>
                <w:rFonts w:hAnsi="宋体"/>
                <w:sz w:val="18"/>
                <w:szCs w:val="18"/>
              </w:rPr>
            </w:pPr>
            <w:r>
              <w:rPr>
                <w:rFonts w:hint="eastAsia" w:hAnsi="宋体" w:cs="仿宋_GB2312"/>
                <w:b/>
                <w:sz w:val="18"/>
                <w:szCs w:val="18"/>
              </w:rPr>
              <w:t>类型</w:t>
            </w:r>
          </w:p>
        </w:tc>
        <w:tc>
          <w:tcPr>
            <w:tcW w:w="476"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二类居住</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行政办公</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文化设施</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教育科研</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体育</w:t>
            </w:r>
          </w:p>
          <w:p>
            <w:pPr>
              <w:spacing w:line="0" w:lineRule="atLeast"/>
              <w:jc w:val="center"/>
              <w:rPr>
                <w:rFonts w:hAnsi="宋体"/>
                <w:sz w:val="18"/>
                <w:szCs w:val="18"/>
              </w:rPr>
            </w:pPr>
            <w:r>
              <w:rPr>
                <w:rFonts w:hint="eastAsia" w:hAnsi="宋体"/>
                <w:sz w:val="18"/>
                <w:szCs w:val="18"/>
              </w:rPr>
              <w:t>用地</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医疗卫生</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社会福利</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商业服务</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娱乐康体</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公用网点</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一类工业</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二类工业</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一类物流</w:t>
            </w:r>
          </w:p>
        </w:tc>
        <w:tc>
          <w:tcPr>
            <w:tcW w:w="478" w:type="dxa"/>
            <w:tcBorders>
              <w:top w:val="single" w:color="auto" w:sz="12" w:space="0"/>
            </w:tcBorders>
          </w:tcPr>
          <w:p>
            <w:pPr>
              <w:spacing w:before="107" w:beforeLines="20" w:line="0" w:lineRule="atLeast"/>
              <w:jc w:val="center"/>
              <w:rPr>
                <w:rFonts w:hAnsi="宋体"/>
                <w:sz w:val="18"/>
                <w:szCs w:val="18"/>
              </w:rPr>
            </w:pPr>
            <w:r>
              <w:rPr>
                <w:rFonts w:hint="eastAsia" w:hAnsi="宋体"/>
                <w:sz w:val="18"/>
                <w:szCs w:val="18"/>
              </w:rPr>
              <w:t>二类物流</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道路交通</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公用设施</w:t>
            </w:r>
          </w:p>
        </w:tc>
        <w:tc>
          <w:tcPr>
            <w:tcW w:w="478" w:type="dxa"/>
            <w:tcBorders>
              <w:top w:val="single" w:color="auto" w:sz="12" w:space="0"/>
              <w:right w:val="single" w:color="auto" w:sz="12" w:space="0"/>
            </w:tcBorders>
            <w:vAlign w:val="center"/>
          </w:tcPr>
          <w:p>
            <w:pPr>
              <w:spacing w:line="0" w:lineRule="atLeast"/>
              <w:jc w:val="center"/>
              <w:rPr>
                <w:rFonts w:hAnsi="宋体"/>
                <w:sz w:val="18"/>
                <w:szCs w:val="18"/>
              </w:rPr>
            </w:pPr>
            <w:r>
              <w:rPr>
                <w:rFonts w:hint="eastAsia" w:hAnsi="宋体"/>
                <w:sz w:val="18"/>
                <w:szCs w:val="18"/>
              </w:rPr>
              <w:t>绿地广场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tblHeader/>
          <w:jc w:val="center"/>
        </w:trPr>
        <w:tc>
          <w:tcPr>
            <w:tcW w:w="1206" w:type="dxa"/>
            <w:gridSpan w:val="2"/>
            <w:vMerge w:val="continue"/>
            <w:tcBorders>
              <w:left w:val="single" w:color="auto" w:sz="12" w:space="0"/>
              <w:tl2br w:val="single" w:color="auto" w:sz="4" w:space="0"/>
            </w:tcBorders>
            <w:vAlign w:val="center"/>
          </w:tcPr>
          <w:p>
            <w:pPr>
              <w:spacing w:line="0" w:lineRule="atLeast"/>
              <w:jc w:val="center"/>
              <w:rPr>
                <w:rFonts w:hAnsi="宋体"/>
                <w:sz w:val="18"/>
                <w:szCs w:val="18"/>
              </w:rPr>
            </w:pPr>
          </w:p>
        </w:tc>
        <w:tc>
          <w:tcPr>
            <w:tcW w:w="476" w:type="dxa"/>
            <w:vAlign w:val="center"/>
          </w:tcPr>
          <w:p>
            <w:pPr>
              <w:spacing w:line="0" w:lineRule="atLeast"/>
              <w:jc w:val="center"/>
              <w:rPr>
                <w:rFonts w:hAnsi="宋体"/>
                <w:sz w:val="21"/>
                <w:szCs w:val="21"/>
              </w:rPr>
            </w:pPr>
            <w:r>
              <w:rPr>
                <w:rFonts w:hint="eastAsia" w:hAnsi="宋体"/>
                <w:kern w:val="0"/>
                <w:sz w:val="21"/>
                <w:szCs w:val="21"/>
              </w:rPr>
              <w:t>R2</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A1</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A2</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A3</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A4</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A5</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A6</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B1</w:t>
            </w:r>
          </w:p>
          <w:p>
            <w:pPr>
              <w:spacing w:line="0" w:lineRule="atLeast"/>
              <w:jc w:val="center"/>
              <w:rPr>
                <w:rFonts w:hAnsi="宋体"/>
                <w:kern w:val="0"/>
                <w:sz w:val="21"/>
                <w:szCs w:val="21"/>
              </w:rPr>
            </w:pPr>
            <w:r>
              <w:rPr>
                <w:rFonts w:hint="eastAsia" w:hAnsi="宋体"/>
                <w:kern w:val="0"/>
                <w:sz w:val="21"/>
                <w:szCs w:val="21"/>
              </w:rPr>
              <w:t>B2</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B3</w:t>
            </w:r>
          </w:p>
        </w:tc>
        <w:tc>
          <w:tcPr>
            <w:tcW w:w="478" w:type="dxa"/>
            <w:vAlign w:val="center"/>
          </w:tcPr>
          <w:p>
            <w:pPr>
              <w:spacing w:line="0" w:lineRule="atLeast"/>
              <w:rPr>
                <w:rFonts w:hAnsi="宋体"/>
                <w:kern w:val="0"/>
                <w:sz w:val="21"/>
                <w:szCs w:val="21"/>
              </w:rPr>
            </w:pPr>
            <w:r>
              <w:rPr>
                <w:rFonts w:hint="eastAsia" w:hAnsi="宋体"/>
                <w:kern w:val="0"/>
                <w:sz w:val="21"/>
                <w:szCs w:val="21"/>
              </w:rPr>
              <w:t>B4</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M1</w:t>
            </w:r>
          </w:p>
        </w:tc>
        <w:tc>
          <w:tcPr>
            <w:tcW w:w="478" w:type="dxa"/>
            <w:vAlign w:val="center"/>
          </w:tcPr>
          <w:p>
            <w:pPr>
              <w:spacing w:line="0" w:lineRule="atLeast"/>
              <w:rPr>
                <w:rFonts w:hAnsi="宋体"/>
                <w:kern w:val="0"/>
                <w:sz w:val="21"/>
                <w:szCs w:val="21"/>
              </w:rPr>
            </w:pPr>
            <w:r>
              <w:rPr>
                <w:rFonts w:hint="eastAsia" w:hAnsi="宋体"/>
                <w:kern w:val="0"/>
                <w:sz w:val="21"/>
                <w:szCs w:val="21"/>
              </w:rPr>
              <w:t>M2</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W1</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W2</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S</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U</w:t>
            </w:r>
          </w:p>
        </w:tc>
        <w:tc>
          <w:tcPr>
            <w:tcW w:w="478" w:type="dxa"/>
            <w:tcBorders>
              <w:right w:val="single" w:color="auto" w:sz="12" w:space="0"/>
            </w:tcBorders>
            <w:vAlign w:val="center"/>
          </w:tcPr>
          <w:p>
            <w:pPr>
              <w:spacing w:line="0" w:lineRule="atLeast"/>
              <w:jc w:val="center"/>
              <w:rPr>
                <w:rFonts w:hAnsi="宋体"/>
                <w:kern w:val="0"/>
                <w:sz w:val="21"/>
                <w:szCs w:val="21"/>
              </w:rPr>
            </w:pPr>
            <w:r>
              <w:rPr>
                <w:rFonts w:hint="eastAsia" w:hAnsi="宋体"/>
                <w:kern w:val="0"/>
                <w:sz w:val="21"/>
                <w:szCs w:val="21"/>
              </w:rPr>
              <w:t>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二类居住</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R2</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行政办公</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A1</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文化设施</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A2</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教育科研</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A3</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体育用地</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A4</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医疗卫生</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A5</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社会福利</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A6</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商业服务</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B1B2</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娱乐康体</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B3</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公用网点</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B4</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一类工业</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M1</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二类工业</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M2</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一类物流</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W1</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二类物流</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W2</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道路交通</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S</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公用设施</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U</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706" w:type="dxa"/>
            <w:tcBorders>
              <w:left w:val="single" w:color="auto" w:sz="12" w:space="0"/>
              <w:bottom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绿地广场</w:t>
            </w:r>
          </w:p>
        </w:tc>
        <w:tc>
          <w:tcPr>
            <w:tcW w:w="500" w:type="dxa"/>
            <w:tcBorders>
              <w:bottom w:val="single" w:color="auto" w:sz="12" w:space="0"/>
            </w:tcBorders>
            <w:vAlign w:val="center"/>
          </w:tcPr>
          <w:p>
            <w:pPr>
              <w:spacing w:line="0" w:lineRule="atLeast"/>
              <w:jc w:val="center"/>
              <w:rPr>
                <w:rFonts w:hAnsi="宋体"/>
                <w:kern w:val="0"/>
                <w:sz w:val="21"/>
                <w:szCs w:val="21"/>
              </w:rPr>
            </w:pPr>
            <w:r>
              <w:rPr>
                <w:rFonts w:hint="eastAsia" w:hAnsi="宋体"/>
                <w:kern w:val="0"/>
                <w:sz w:val="21"/>
                <w:szCs w:val="21"/>
              </w:rPr>
              <w:t>G</w:t>
            </w:r>
          </w:p>
        </w:tc>
        <w:tc>
          <w:tcPr>
            <w:tcW w:w="476"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bl>
    <w:p>
      <w:pPr>
        <w:spacing w:line="400" w:lineRule="exact"/>
        <w:ind w:left="735" w:hanging="735" w:hangingChars="350"/>
        <w:rPr>
          <w:sz w:val="21"/>
          <w:szCs w:val="21"/>
        </w:rPr>
      </w:pPr>
      <w:r>
        <w:rPr>
          <w:rFonts w:hint="eastAsia"/>
          <w:sz w:val="21"/>
          <w:szCs w:val="21"/>
        </w:rPr>
        <w:t>注：1、符号●为兼容，○为有条件兼容，×为禁止兼容，用地兼容或有条件兼容应按相关法规要求确定用地兼容是“部分兼容”还是“完全兼容”其它类别用地。</w:t>
      </w:r>
    </w:p>
    <w:p>
      <w:pPr>
        <w:spacing w:line="400" w:lineRule="exact"/>
        <w:ind w:left="735" w:leftChars="150" w:hanging="315" w:hangingChars="150"/>
        <w:rPr>
          <w:sz w:val="21"/>
          <w:szCs w:val="21"/>
        </w:rPr>
      </w:pPr>
      <w:r>
        <w:rPr>
          <w:sz w:val="21"/>
          <w:szCs w:val="21"/>
        </w:rPr>
        <w:t>2、</w:t>
      </w:r>
      <w:r>
        <w:rPr>
          <w:rFonts w:hint="eastAsia"/>
          <w:sz w:val="21"/>
          <w:szCs w:val="21"/>
        </w:rPr>
        <w:t>城乡建设用地类别R1、R3参照R2执行；A7、A8、A9均与其它用地不兼容；</w:t>
      </w:r>
    </w:p>
    <w:p>
      <w:pPr>
        <w:spacing w:line="400" w:lineRule="exact"/>
        <w:ind w:left="735" w:leftChars="150" w:hanging="315" w:hangingChars="150"/>
        <w:rPr>
          <w:sz w:val="21"/>
          <w:szCs w:val="21"/>
        </w:rPr>
      </w:pPr>
      <w:r>
        <w:rPr>
          <w:sz w:val="21"/>
          <w:szCs w:val="21"/>
        </w:rPr>
        <w:t>3、</w:t>
      </w:r>
      <w:r>
        <w:rPr>
          <w:rFonts w:hint="eastAsia"/>
          <w:sz w:val="21"/>
          <w:szCs w:val="21"/>
        </w:rPr>
        <w:t>B9参照B4执行；M3和W3除道路、公用设施、防护绿地外，不兼容其它类型用地。S、U、G大类包括其中类和小类。</w:t>
      </w:r>
    </w:p>
    <w:p>
      <w:pPr>
        <w:pStyle w:val="22"/>
        <w:numPr>
          <w:ilvl w:val="2"/>
          <w:numId w:val="1"/>
        </w:numPr>
        <w:ind w:left="0" w:firstLine="560"/>
      </w:pPr>
      <w:r>
        <w:rPr>
          <w:rFonts w:hint="eastAsia"/>
        </w:rPr>
        <w:t>建设用地兼容分为部分兼容、完全兼容、禁止兼容。</w:t>
      </w:r>
    </w:p>
    <w:p>
      <w:pPr>
        <w:pStyle w:val="22"/>
        <w:ind w:firstLine="560"/>
      </w:pPr>
      <w:r>
        <w:rPr>
          <w:rFonts w:hint="eastAsia"/>
        </w:rPr>
        <w:t>部分兼容为原规划性质用地允许兼容其它一种以上性质用地，兼容用地面积之和所占该地块总面积比例不超过40%（兼容功能无法进行用地功能分区的，兼容比例按建筑规模计算，即兼容计容建筑面积之和所占该地块总计容建筑面积比例不超过40%）。</w:t>
      </w:r>
    </w:p>
    <w:p>
      <w:pPr>
        <w:pStyle w:val="22"/>
        <w:ind w:firstLine="560"/>
      </w:pPr>
      <w:r>
        <w:rPr>
          <w:rFonts w:hint="eastAsia"/>
        </w:rPr>
        <w:t>完全兼容为该规划性质用地允许混合其它一种以上性质用地，混合比例最高可达100%。</w:t>
      </w:r>
    </w:p>
    <w:p>
      <w:pPr>
        <w:pStyle w:val="22"/>
        <w:ind w:firstLine="560"/>
      </w:pPr>
      <w:r>
        <w:rPr>
          <w:rFonts w:hint="eastAsia"/>
        </w:rPr>
        <w:t>禁止兼容为该规划性质用地不允许兼容或转变为其它性质用地。</w:t>
      </w:r>
    </w:p>
    <w:p>
      <w:pPr>
        <w:pStyle w:val="22"/>
        <w:ind w:firstLine="560"/>
      </w:pPr>
      <w:r>
        <w:rPr>
          <w:rFonts w:hint="eastAsia"/>
        </w:rPr>
        <w:t>在不违反城市总体规划强制性内容的前提下，居住用地和商业用地可完全兼容公共管理与公共服务用地及公用设施用地，兼容比例为100%，其开发强度参照兼容用地的指标执行。</w:t>
      </w:r>
    </w:p>
    <w:p>
      <w:pPr>
        <w:pStyle w:val="22"/>
        <w:numPr>
          <w:ilvl w:val="2"/>
          <w:numId w:val="1"/>
        </w:numPr>
        <w:ind w:left="0" w:firstLine="560"/>
      </w:pPr>
      <w:r>
        <w:rPr>
          <w:rFonts w:hint="eastAsia"/>
        </w:rPr>
        <w:t>规划用地建设相应的配套设施，不属于兼容，其配套设施用地（或建筑）应按相关规定执行，主要包括：</w:t>
      </w:r>
    </w:p>
    <w:p>
      <w:pPr>
        <w:pStyle w:val="22"/>
        <w:ind w:firstLine="560"/>
      </w:pPr>
      <w:r>
        <w:t>1、</w:t>
      </w:r>
      <w:r>
        <w:rPr>
          <w:rFonts w:hint="eastAsia"/>
        </w:rPr>
        <w:t>居住用地配套的公共服务设施（小区级以下的教育、医疗卫生、托老所、文化体育、商业服务、金融邮电、社区服务、市政公用、行政管理等）建筑面积不超过总建筑面积的20%。</w:t>
      </w:r>
    </w:p>
    <w:p>
      <w:pPr>
        <w:pStyle w:val="22"/>
        <w:ind w:firstLine="560"/>
      </w:pPr>
      <w:r>
        <w:rPr>
          <w:rFonts w:hint="eastAsia"/>
        </w:rPr>
        <w:t>2、工业用地、物流仓储用地、批发市场用地配套的行政办公及生活服务设施用地面积不超过总用地面积的7%。</w:t>
      </w:r>
    </w:p>
    <w:p>
      <w:pPr>
        <w:pStyle w:val="22"/>
        <w:ind w:firstLine="560"/>
      </w:pPr>
      <w:r>
        <w:rPr>
          <w:rFonts w:hint="eastAsia"/>
        </w:rPr>
        <w:t>3、教育科研用地、公园绿地（包括防护绿地）等用地的配套设施，应符合相关法规和设计规范要求。</w:t>
      </w:r>
    </w:p>
    <w:p>
      <w:pPr>
        <w:pStyle w:val="22"/>
        <w:numPr>
          <w:ilvl w:val="2"/>
          <w:numId w:val="1"/>
        </w:numPr>
        <w:ind w:left="0" w:firstLine="560"/>
      </w:pPr>
      <w:r>
        <w:rPr>
          <w:rFonts w:hint="eastAsia"/>
        </w:rPr>
        <w:t>建设用地兼容时，当地面主导功能（建筑性质）发生改变，用地性质应随之调整。商业服务业等其它建设用地类别需兼容住宅的，应以满足其居住人口配套公共服务设施为基本要求。</w:t>
      </w:r>
    </w:p>
    <w:p>
      <w:pPr>
        <w:pStyle w:val="3"/>
        <w:numPr>
          <w:ilvl w:val="1"/>
          <w:numId w:val="1"/>
        </w:numPr>
        <w:ind w:left="941" w:hanging="940" w:hangingChars="294"/>
      </w:pPr>
      <w:bookmarkStart w:id="4" w:name="_Toc523230028"/>
      <w:r>
        <w:rPr>
          <w:rFonts w:hint="eastAsia"/>
        </w:rPr>
        <w:t>居住用地规模</w:t>
      </w:r>
      <w:bookmarkEnd w:id="4"/>
    </w:p>
    <w:p>
      <w:pPr>
        <w:pStyle w:val="22"/>
        <w:numPr>
          <w:ilvl w:val="2"/>
          <w:numId w:val="1"/>
        </w:numPr>
        <w:ind w:left="0" w:firstLine="560"/>
      </w:pPr>
      <w:r>
        <w:rPr>
          <w:rFonts w:hint="eastAsia"/>
        </w:rPr>
        <w:t>居住用地包括住宅和相应配套服务设施用地，配套服务设施用地包括幼托、文化体育设施、商业金融、社区卫生服务站和公用设施等用地，不包括中小学用地。</w:t>
      </w:r>
    </w:p>
    <w:p>
      <w:pPr>
        <w:pStyle w:val="22"/>
        <w:numPr>
          <w:ilvl w:val="2"/>
          <w:numId w:val="1"/>
        </w:numPr>
        <w:ind w:left="0" w:firstLine="560"/>
      </w:pPr>
      <w:r>
        <w:rPr>
          <w:rFonts w:hint="eastAsia"/>
        </w:rPr>
        <w:t>居住用地应相对集中布局，形成相应规模的居住区、居住小区或居住组团。其用地和人口规模应按表</w:t>
      </w:r>
      <w:r>
        <w:t>2.3.2</w:t>
      </w:r>
      <w:r>
        <w:rPr>
          <w:rFonts w:hint="eastAsia"/>
        </w:rPr>
        <w:t>指标进行控制。</w:t>
      </w:r>
    </w:p>
    <w:p>
      <w:pPr>
        <w:pStyle w:val="6"/>
        <w:keepNext/>
        <w:rPr>
          <w:sz w:val="24"/>
          <w:szCs w:val="24"/>
        </w:rPr>
      </w:pPr>
      <w:r>
        <w:rPr>
          <w:sz w:val="24"/>
          <w:szCs w:val="24"/>
        </w:rPr>
        <w:t xml:space="preserve">表2.3.2 </w:t>
      </w:r>
      <w:r>
        <w:rPr>
          <w:rFonts w:hint="eastAsia"/>
          <w:sz w:val="24"/>
          <w:szCs w:val="24"/>
        </w:rPr>
        <w:t>居住区、小区和组团用地及人口规模控制指标</w:t>
      </w:r>
    </w:p>
    <w:tbl>
      <w:tblPr>
        <w:tblStyle w:val="1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336"/>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6" w:type="dxa"/>
            <w:vAlign w:val="center"/>
          </w:tcPr>
          <w:p>
            <w:pPr>
              <w:spacing w:line="440" w:lineRule="exact"/>
              <w:jc w:val="center"/>
              <w:rPr>
                <w:rFonts w:hAnsi="宋体"/>
                <w:b/>
                <w:kern w:val="0"/>
                <w:sz w:val="21"/>
                <w:szCs w:val="21"/>
              </w:rPr>
            </w:pPr>
            <w:r>
              <w:rPr>
                <w:rFonts w:hint="eastAsia" w:hAnsi="宋体"/>
                <w:b/>
                <w:kern w:val="0"/>
                <w:sz w:val="21"/>
                <w:szCs w:val="21"/>
              </w:rPr>
              <w:t>规  模</w:t>
            </w:r>
          </w:p>
        </w:tc>
        <w:tc>
          <w:tcPr>
            <w:tcW w:w="2336" w:type="dxa"/>
            <w:vAlign w:val="center"/>
          </w:tcPr>
          <w:p>
            <w:pPr>
              <w:spacing w:line="440" w:lineRule="exact"/>
              <w:jc w:val="center"/>
              <w:rPr>
                <w:rFonts w:hAnsi="宋体"/>
                <w:b/>
                <w:kern w:val="0"/>
                <w:sz w:val="21"/>
                <w:szCs w:val="21"/>
              </w:rPr>
            </w:pPr>
            <w:r>
              <w:rPr>
                <w:rFonts w:hint="eastAsia" w:hAnsi="宋体"/>
                <w:b/>
                <w:kern w:val="0"/>
                <w:sz w:val="21"/>
                <w:szCs w:val="21"/>
              </w:rPr>
              <w:t>居 住 区</w:t>
            </w:r>
          </w:p>
        </w:tc>
        <w:tc>
          <w:tcPr>
            <w:tcW w:w="2336" w:type="dxa"/>
            <w:vAlign w:val="center"/>
          </w:tcPr>
          <w:p>
            <w:pPr>
              <w:spacing w:line="440" w:lineRule="exact"/>
              <w:jc w:val="center"/>
              <w:rPr>
                <w:rFonts w:hAnsi="宋体"/>
                <w:b/>
                <w:kern w:val="0"/>
                <w:sz w:val="21"/>
                <w:szCs w:val="21"/>
              </w:rPr>
            </w:pPr>
            <w:r>
              <w:rPr>
                <w:rFonts w:hint="eastAsia" w:hAnsi="宋体"/>
                <w:b/>
                <w:kern w:val="0"/>
                <w:sz w:val="21"/>
                <w:szCs w:val="21"/>
              </w:rPr>
              <w:t>小  区</w:t>
            </w:r>
          </w:p>
        </w:tc>
        <w:tc>
          <w:tcPr>
            <w:tcW w:w="2336" w:type="dxa"/>
            <w:vAlign w:val="center"/>
          </w:tcPr>
          <w:p>
            <w:pPr>
              <w:spacing w:line="440" w:lineRule="exact"/>
              <w:jc w:val="center"/>
              <w:rPr>
                <w:rFonts w:hAnsi="宋体"/>
                <w:b/>
                <w:kern w:val="0"/>
                <w:sz w:val="21"/>
                <w:szCs w:val="21"/>
              </w:rPr>
            </w:pPr>
            <w:r>
              <w:rPr>
                <w:rFonts w:hint="eastAsia" w:hAnsi="宋体"/>
                <w:b/>
                <w:kern w:val="0"/>
                <w:sz w:val="21"/>
                <w:szCs w:val="21"/>
              </w:rPr>
              <w:t>组  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36" w:type="dxa"/>
            <w:vAlign w:val="center"/>
          </w:tcPr>
          <w:p>
            <w:pPr>
              <w:spacing w:line="440" w:lineRule="exact"/>
              <w:jc w:val="center"/>
              <w:rPr>
                <w:rFonts w:hAnsi="宋体"/>
                <w:b/>
                <w:kern w:val="0"/>
                <w:sz w:val="21"/>
                <w:szCs w:val="21"/>
              </w:rPr>
            </w:pPr>
            <w:r>
              <w:rPr>
                <w:rFonts w:hint="eastAsia" w:hAnsi="宋体"/>
                <w:b/>
                <w:kern w:val="0"/>
                <w:sz w:val="21"/>
                <w:szCs w:val="21"/>
              </w:rPr>
              <w:t>用 地</w:t>
            </w:r>
            <w:r>
              <w:rPr>
                <w:rFonts w:hint="eastAsia" w:hAnsi="宋体"/>
                <w:kern w:val="0"/>
                <w:sz w:val="21"/>
                <w:szCs w:val="21"/>
              </w:rPr>
              <w:t>（hm</w:t>
            </w:r>
            <w:r>
              <w:rPr>
                <w:rFonts w:hAnsi="宋体" w:cs="Calibri"/>
                <w:kern w:val="0"/>
                <w:sz w:val="21"/>
                <w:szCs w:val="21"/>
              </w:rPr>
              <w:t>²</w:t>
            </w:r>
            <w:r>
              <w:rPr>
                <w:rFonts w:hint="eastAsia" w:hAnsi="宋体"/>
                <w:kern w:val="0"/>
                <w:sz w:val="21"/>
                <w:szCs w:val="21"/>
              </w:rPr>
              <w:t>）</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50～100</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10～15</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6" w:type="dxa"/>
            <w:vAlign w:val="center"/>
          </w:tcPr>
          <w:p>
            <w:pPr>
              <w:spacing w:line="440" w:lineRule="exact"/>
              <w:jc w:val="center"/>
              <w:rPr>
                <w:rFonts w:hAnsi="宋体"/>
                <w:b/>
                <w:kern w:val="0"/>
                <w:sz w:val="21"/>
                <w:szCs w:val="21"/>
              </w:rPr>
            </w:pPr>
            <w:r>
              <w:rPr>
                <w:rFonts w:hint="eastAsia" w:hAnsi="宋体"/>
                <w:b/>
                <w:kern w:val="0"/>
                <w:sz w:val="21"/>
                <w:szCs w:val="21"/>
              </w:rPr>
              <w:t xml:space="preserve">人 口 </w:t>
            </w:r>
            <w:r>
              <w:rPr>
                <w:rFonts w:hint="eastAsia" w:hAnsi="宋体"/>
                <w:kern w:val="0"/>
                <w:sz w:val="21"/>
                <w:szCs w:val="21"/>
              </w:rPr>
              <w:t>(人)</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30000～50000</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10000～15000</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1000～3000</w:t>
            </w:r>
          </w:p>
        </w:tc>
      </w:tr>
    </w:tbl>
    <w:p>
      <w:pPr>
        <w:pStyle w:val="22"/>
        <w:ind w:firstLine="0" w:firstLineChars="0"/>
      </w:pPr>
    </w:p>
    <w:p>
      <w:pPr>
        <w:pStyle w:val="22"/>
        <w:numPr>
          <w:ilvl w:val="2"/>
          <w:numId w:val="1"/>
        </w:numPr>
        <w:ind w:left="0" w:firstLine="560"/>
      </w:pPr>
      <w:r>
        <w:rPr>
          <w:rFonts w:hint="eastAsia"/>
        </w:rPr>
        <w:t>新建居住用地应成片规划，形成居住小区或居住组团，避免零星插建。严格控制建设用地零散开发（城乡公共设施和城乡基础设施除外），开发建设用地面积小于</w:t>
      </w:r>
      <w:r>
        <w:t>3</w:t>
      </w:r>
      <w:r>
        <w:rPr>
          <w:rFonts w:hint="eastAsia"/>
        </w:rPr>
        <w:t>000平方米的零散用地不宜单独开发。</w:t>
      </w:r>
    </w:p>
    <w:p>
      <w:pPr>
        <w:pStyle w:val="22"/>
        <w:numPr>
          <w:ilvl w:val="2"/>
          <w:numId w:val="1"/>
        </w:numPr>
        <w:ind w:left="0" w:firstLine="560"/>
      </w:pPr>
      <w:r>
        <w:rPr>
          <w:rFonts w:hint="eastAsia"/>
        </w:rPr>
        <w:t>城市中心城区和其他新开发的居住小区、旅游片区（含配套居住区）不应规划个人宅基地建设个人自建自住房屋。中心镇镇区也不宜规划个人宅基地建设个人自建自住房屋。</w:t>
      </w:r>
    </w:p>
    <w:p>
      <w:pPr>
        <w:pStyle w:val="22"/>
        <w:numPr>
          <w:ilvl w:val="2"/>
          <w:numId w:val="1"/>
        </w:numPr>
        <w:ind w:left="0" w:firstLine="560"/>
      </w:pPr>
      <w:r>
        <w:rPr>
          <w:rFonts w:hint="eastAsia"/>
        </w:rPr>
        <w:t>在旧城区或相邻土地已完成建设，或有道路、河道等类似情况，用地面积小于</w:t>
      </w:r>
      <w:r>
        <w:t>3</w:t>
      </w:r>
      <w:r>
        <w:rPr>
          <w:rFonts w:hint="eastAsia"/>
        </w:rPr>
        <w:t>000平方米且无法调整合并的，在满足建筑退让规定的前提下，城乡规划部门可视具体情况予以确定，但建设规模应符合表2</w:t>
      </w:r>
      <w:r>
        <w:t>.3.</w:t>
      </w:r>
      <w:r>
        <w:rPr>
          <w:rFonts w:hint="eastAsia"/>
        </w:rPr>
        <w:t>5的规定。</w:t>
      </w:r>
    </w:p>
    <w:p>
      <w:pPr>
        <w:pStyle w:val="6"/>
        <w:keepNext/>
        <w:rPr>
          <w:sz w:val="24"/>
          <w:szCs w:val="24"/>
        </w:rPr>
      </w:pPr>
      <w:r>
        <w:rPr>
          <w:sz w:val="24"/>
          <w:szCs w:val="24"/>
        </w:rPr>
        <w:t>表2.3.</w:t>
      </w:r>
      <w:r>
        <w:rPr>
          <w:rFonts w:hint="eastAsia"/>
          <w:sz w:val="24"/>
          <w:szCs w:val="24"/>
        </w:rPr>
        <w:t>5</w:t>
      </w:r>
      <w:r>
        <w:rPr>
          <w:sz w:val="24"/>
          <w:szCs w:val="24"/>
        </w:rPr>
        <w:t xml:space="preserve"> </w:t>
      </w:r>
      <w:r>
        <w:rPr>
          <w:rFonts w:hint="eastAsia"/>
          <w:sz w:val="24"/>
          <w:szCs w:val="24"/>
        </w:rPr>
        <w:t>零散用地建设规模控制指标</w:t>
      </w:r>
    </w:p>
    <w:tbl>
      <w:tblPr>
        <w:tblStyle w:val="18"/>
        <w:tblW w:w="93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74"/>
        <w:gridCol w:w="46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674" w:type="dxa"/>
            <w:vAlign w:val="center"/>
          </w:tcPr>
          <w:p>
            <w:pPr>
              <w:spacing w:line="300" w:lineRule="exact"/>
              <w:jc w:val="center"/>
              <w:rPr>
                <w:rFonts w:hAnsi="宋体"/>
                <w:b/>
                <w:kern w:val="0"/>
                <w:sz w:val="21"/>
                <w:szCs w:val="21"/>
              </w:rPr>
            </w:pPr>
            <w:r>
              <w:rPr>
                <w:rFonts w:hint="eastAsia" w:hAnsi="宋体"/>
                <w:b/>
                <w:kern w:val="0"/>
                <w:sz w:val="21"/>
                <w:szCs w:val="21"/>
              </w:rPr>
              <w:t>建筑层数</w:t>
            </w:r>
          </w:p>
        </w:tc>
        <w:tc>
          <w:tcPr>
            <w:tcW w:w="4674" w:type="dxa"/>
            <w:vAlign w:val="center"/>
          </w:tcPr>
          <w:p>
            <w:pPr>
              <w:spacing w:line="300" w:lineRule="exact"/>
              <w:jc w:val="center"/>
              <w:rPr>
                <w:rFonts w:hAnsi="宋体"/>
                <w:b/>
                <w:kern w:val="0"/>
                <w:sz w:val="21"/>
                <w:szCs w:val="21"/>
              </w:rPr>
            </w:pPr>
            <w:r>
              <w:rPr>
                <w:rFonts w:hint="eastAsia" w:hAnsi="宋体"/>
                <w:b/>
                <w:kern w:val="0"/>
                <w:sz w:val="21"/>
                <w:szCs w:val="21"/>
              </w:rPr>
              <w:t>最小地块面积（平方米）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674" w:type="dxa"/>
            <w:vAlign w:val="center"/>
          </w:tcPr>
          <w:p>
            <w:pPr>
              <w:spacing w:line="300" w:lineRule="exact"/>
              <w:jc w:val="center"/>
              <w:rPr>
                <w:rFonts w:hAnsi="宋体"/>
                <w:kern w:val="0"/>
                <w:sz w:val="21"/>
                <w:szCs w:val="21"/>
              </w:rPr>
            </w:pPr>
            <w:r>
              <w:rPr>
                <w:rFonts w:hint="eastAsia" w:hAnsi="宋体"/>
                <w:kern w:val="0"/>
                <w:sz w:val="21"/>
                <w:szCs w:val="21"/>
              </w:rPr>
              <w:t>4～9层</w:t>
            </w:r>
          </w:p>
        </w:tc>
        <w:tc>
          <w:tcPr>
            <w:tcW w:w="4674" w:type="dxa"/>
            <w:vAlign w:val="center"/>
          </w:tcPr>
          <w:p>
            <w:pPr>
              <w:spacing w:line="300" w:lineRule="exact"/>
              <w:jc w:val="center"/>
              <w:rPr>
                <w:rFonts w:hAnsi="宋体"/>
                <w:kern w:val="0"/>
                <w:sz w:val="21"/>
                <w:szCs w:val="21"/>
              </w:rPr>
            </w:pPr>
            <w:r>
              <w:rPr>
                <w:rFonts w:hint="eastAsia" w:hAnsi="宋体"/>
                <w:kern w:val="0"/>
                <w:sz w:val="21"/>
                <w:szCs w:val="21"/>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674" w:type="dxa"/>
            <w:vAlign w:val="center"/>
          </w:tcPr>
          <w:p>
            <w:pPr>
              <w:spacing w:line="300" w:lineRule="exact"/>
              <w:jc w:val="center"/>
              <w:rPr>
                <w:rFonts w:hAnsi="宋体"/>
                <w:kern w:val="0"/>
                <w:sz w:val="21"/>
                <w:szCs w:val="21"/>
              </w:rPr>
            </w:pPr>
            <w:r>
              <w:rPr>
                <w:rFonts w:hint="eastAsia" w:hAnsi="宋体"/>
                <w:kern w:val="0"/>
                <w:sz w:val="21"/>
                <w:szCs w:val="21"/>
              </w:rPr>
              <w:t>10层以上</w:t>
            </w:r>
          </w:p>
        </w:tc>
        <w:tc>
          <w:tcPr>
            <w:tcW w:w="4674" w:type="dxa"/>
            <w:vAlign w:val="center"/>
          </w:tcPr>
          <w:p>
            <w:pPr>
              <w:spacing w:line="300" w:lineRule="exact"/>
              <w:jc w:val="center"/>
              <w:rPr>
                <w:rFonts w:hAnsi="宋体"/>
                <w:kern w:val="0"/>
                <w:sz w:val="21"/>
                <w:szCs w:val="21"/>
              </w:rPr>
            </w:pPr>
            <w:r>
              <w:rPr>
                <w:rFonts w:hint="eastAsia" w:hAnsi="宋体"/>
                <w:kern w:val="0"/>
                <w:sz w:val="21"/>
                <w:szCs w:val="21"/>
              </w:rPr>
              <w:t>1800</w:t>
            </w:r>
          </w:p>
        </w:tc>
      </w:tr>
    </w:tbl>
    <w:p>
      <w:pPr>
        <w:pStyle w:val="3"/>
        <w:numPr>
          <w:ilvl w:val="1"/>
          <w:numId w:val="1"/>
        </w:numPr>
        <w:ind w:left="941" w:hanging="940" w:hangingChars="294"/>
      </w:pPr>
      <w:bookmarkStart w:id="5" w:name="_Toc523230029"/>
      <w:r>
        <w:rPr>
          <w:rFonts w:hint="eastAsia"/>
        </w:rPr>
        <w:t>居住用地开发强度</w:t>
      </w:r>
      <w:bookmarkEnd w:id="5"/>
    </w:p>
    <w:p>
      <w:pPr>
        <w:pStyle w:val="22"/>
        <w:numPr>
          <w:ilvl w:val="2"/>
          <w:numId w:val="1"/>
        </w:numPr>
        <w:ind w:left="0" w:firstLine="560"/>
      </w:pPr>
      <w:r>
        <w:rPr>
          <w:rFonts w:hint="eastAsia"/>
        </w:rPr>
        <w:t>居住用地规划建设须合理控制开发强度，以创造良好的居住环境。居住用地开发强度应符合表</w:t>
      </w:r>
      <w:r>
        <w:t>2.4.1</w:t>
      </w:r>
      <w:r>
        <w:rPr>
          <w:rFonts w:hint="eastAsia"/>
        </w:rPr>
        <w:t>的规定。</w:t>
      </w:r>
    </w:p>
    <w:p>
      <w:pPr>
        <w:pStyle w:val="6"/>
        <w:keepNext/>
        <w:rPr>
          <w:sz w:val="24"/>
          <w:szCs w:val="24"/>
        </w:rPr>
      </w:pPr>
      <w:r>
        <w:rPr>
          <w:rFonts w:hint="eastAsia"/>
          <w:sz w:val="24"/>
          <w:szCs w:val="24"/>
        </w:rPr>
        <w:t>表</w:t>
      </w:r>
      <w:r>
        <w:rPr>
          <w:sz w:val="24"/>
          <w:szCs w:val="24"/>
        </w:rPr>
        <w:t xml:space="preserve">2.4.1 </w:t>
      </w:r>
      <w:r>
        <w:rPr>
          <w:rFonts w:hint="eastAsia"/>
          <w:sz w:val="24"/>
          <w:szCs w:val="24"/>
        </w:rPr>
        <w:t xml:space="preserve">居住用地开发强度控制指标  </w:t>
      </w:r>
    </w:p>
    <w:tbl>
      <w:tblPr>
        <w:tblStyle w:val="1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54"/>
        <w:gridCol w:w="1164"/>
        <w:gridCol w:w="1164"/>
        <w:gridCol w:w="1164"/>
        <w:gridCol w:w="1164"/>
        <w:gridCol w:w="116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05" w:type="dxa"/>
            <w:vMerge w:val="restart"/>
            <w:vAlign w:val="center"/>
          </w:tcPr>
          <w:p>
            <w:pPr>
              <w:adjustRightInd w:val="0"/>
              <w:snapToGrid w:val="0"/>
              <w:spacing w:line="360" w:lineRule="exact"/>
              <w:jc w:val="center"/>
              <w:rPr>
                <w:rFonts w:hAnsi="宋体"/>
                <w:b/>
                <w:sz w:val="21"/>
                <w:szCs w:val="21"/>
              </w:rPr>
            </w:pPr>
            <w:r>
              <w:rPr>
                <w:rFonts w:hint="eastAsia" w:hAnsi="宋体"/>
                <w:b/>
                <w:sz w:val="21"/>
                <w:szCs w:val="21"/>
              </w:rPr>
              <w:t>建设区</w:t>
            </w:r>
          </w:p>
        </w:tc>
        <w:tc>
          <w:tcPr>
            <w:tcW w:w="1254" w:type="dxa"/>
            <w:vMerge w:val="restart"/>
            <w:vAlign w:val="center"/>
          </w:tcPr>
          <w:p>
            <w:pPr>
              <w:adjustRightInd w:val="0"/>
              <w:snapToGrid w:val="0"/>
              <w:spacing w:line="192" w:lineRule="auto"/>
              <w:jc w:val="center"/>
              <w:rPr>
                <w:rFonts w:hAnsi="宋体"/>
                <w:b/>
                <w:sz w:val="21"/>
                <w:szCs w:val="21"/>
              </w:rPr>
            </w:pPr>
            <w:r>
              <w:rPr>
                <w:rFonts w:hint="eastAsia" w:hAnsi="宋体"/>
                <w:b/>
                <w:sz w:val="21"/>
                <w:szCs w:val="21"/>
              </w:rPr>
              <w:t>住宅层数</w:t>
            </w:r>
          </w:p>
        </w:tc>
        <w:tc>
          <w:tcPr>
            <w:tcW w:w="3492" w:type="dxa"/>
            <w:gridSpan w:val="3"/>
            <w:vAlign w:val="center"/>
          </w:tcPr>
          <w:p>
            <w:pPr>
              <w:adjustRightInd w:val="0"/>
              <w:snapToGrid w:val="0"/>
              <w:spacing w:line="360" w:lineRule="exact"/>
              <w:jc w:val="center"/>
              <w:rPr>
                <w:rFonts w:hAnsi="宋体"/>
                <w:b/>
                <w:sz w:val="21"/>
                <w:szCs w:val="21"/>
              </w:rPr>
            </w:pPr>
            <w:r>
              <w:rPr>
                <w:rFonts w:hint="eastAsia" w:hAnsi="宋体"/>
                <w:b/>
                <w:sz w:val="21"/>
                <w:szCs w:val="21"/>
              </w:rPr>
              <w:t>容积率</w:t>
            </w:r>
          </w:p>
        </w:tc>
        <w:tc>
          <w:tcPr>
            <w:tcW w:w="3493" w:type="dxa"/>
            <w:gridSpan w:val="3"/>
            <w:vAlign w:val="center"/>
          </w:tcPr>
          <w:p>
            <w:pPr>
              <w:adjustRightInd w:val="0"/>
              <w:snapToGrid w:val="0"/>
              <w:spacing w:line="360" w:lineRule="exact"/>
              <w:jc w:val="center"/>
              <w:rPr>
                <w:rFonts w:hAnsi="宋体"/>
                <w:b/>
                <w:sz w:val="21"/>
                <w:szCs w:val="21"/>
              </w:rPr>
            </w:pPr>
            <w:r>
              <w:rPr>
                <w:rFonts w:hint="eastAsia" w:hAnsi="宋体"/>
                <w:b/>
                <w:sz w:val="21"/>
                <w:szCs w:val="21"/>
              </w:rPr>
              <w:t>建筑密度（%）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05" w:type="dxa"/>
            <w:vMerge w:val="continue"/>
          </w:tcPr>
          <w:p>
            <w:pPr>
              <w:adjustRightInd w:val="0"/>
              <w:snapToGrid w:val="0"/>
              <w:spacing w:line="192" w:lineRule="auto"/>
              <w:jc w:val="center"/>
              <w:rPr>
                <w:rFonts w:hAnsi="宋体"/>
                <w:sz w:val="21"/>
                <w:szCs w:val="21"/>
              </w:rPr>
            </w:pPr>
          </w:p>
        </w:tc>
        <w:tc>
          <w:tcPr>
            <w:tcW w:w="1254" w:type="dxa"/>
            <w:vMerge w:val="continue"/>
          </w:tcPr>
          <w:p>
            <w:pPr>
              <w:adjustRightInd w:val="0"/>
              <w:snapToGrid w:val="0"/>
              <w:spacing w:line="192" w:lineRule="auto"/>
              <w:jc w:val="center"/>
              <w:rPr>
                <w:rFonts w:hAnsi="宋体"/>
                <w:b/>
                <w:sz w:val="21"/>
                <w:szCs w:val="21"/>
              </w:rPr>
            </w:pPr>
          </w:p>
        </w:tc>
        <w:tc>
          <w:tcPr>
            <w:tcW w:w="1164" w:type="dxa"/>
            <w:vAlign w:val="center"/>
          </w:tcPr>
          <w:p>
            <w:pPr>
              <w:adjustRightInd w:val="0"/>
              <w:snapToGrid w:val="0"/>
              <w:spacing w:line="360" w:lineRule="exact"/>
              <w:jc w:val="center"/>
              <w:rPr>
                <w:rFonts w:hAnsi="宋体"/>
                <w:b/>
                <w:sz w:val="21"/>
                <w:szCs w:val="21"/>
              </w:rPr>
            </w:pPr>
            <w:r>
              <w:rPr>
                <w:rFonts w:hint="eastAsia" w:hAnsi="宋体"/>
                <w:b/>
                <w:sz w:val="21"/>
                <w:szCs w:val="21"/>
              </w:rPr>
              <w:t>居住区</w:t>
            </w:r>
          </w:p>
        </w:tc>
        <w:tc>
          <w:tcPr>
            <w:tcW w:w="1164" w:type="dxa"/>
            <w:vAlign w:val="center"/>
          </w:tcPr>
          <w:p>
            <w:pPr>
              <w:adjustRightInd w:val="0"/>
              <w:snapToGrid w:val="0"/>
              <w:spacing w:line="360" w:lineRule="exact"/>
              <w:jc w:val="center"/>
              <w:rPr>
                <w:rFonts w:hAnsi="宋体"/>
                <w:b/>
                <w:sz w:val="21"/>
                <w:szCs w:val="21"/>
              </w:rPr>
            </w:pPr>
            <w:r>
              <w:rPr>
                <w:rFonts w:hint="eastAsia" w:hAnsi="宋体"/>
                <w:b/>
                <w:sz w:val="21"/>
                <w:szCs w:val="21"/>
              </w:rPr>
              <w:t>小区</w:t>
            </w:r>
          </w:p>
        </w:tc>
        <w:tc>
          <w:tcPr>
            <w:tcW w:w="1164" w:type="dxa"/>
            <w:vAlign w:val="center"/>
          </w:tcPr>
          <w:p>
            <w:pPr>
              <w:adjustRightInd w:val="0"/>
              <w:snapToGrid w:val="0"/>
              <w:spacing w:line="360" w:lineRule="exact"/>
              <w:jc w:val="center"/>
              <w:rPr>
                <w:rFonts w:hAnsi="宋体"/>
                <w:b/>
                <w:sz w:val="21"/>
                <w:szCs w:val="21"/>
              </w:rPr>
            </w:pPr>
            <w:r>
              <w:rPr>
                <w:rFonts w:hint="eastAsia" w:hAnsi="宋体"/>
                <w:b/>
                <w:sz w:val="21"/>
                <w:szCs w:val="21"/>
              </w:rPr>
              <w:t>组团</w:t>
            </w:r>
          </w:p>
        </w:tc>
        <w:tc>
          <w:tcPr>
            <w:tcW w:w="1164" w:type="dxa"/>
            <w:vAlign w:val="center"/>
          </w:tcPr>
          <w:p>
            <w:pPr>
              <w:adjustRightInd w:val="0"/>
              <w:snapToGrid w:val="0"/>
              <w:spacing w:line="360" w:lineRule="exact"/>
              <w:jc w:val="center"/>
              <w:rPr>
                <w:rFonts w:hAnsi="宋体"/>
                <w:b/>
                <w:sz w:val="21"/>
                <w:szCs w:val="21"/>
              </w:rPr>
            </w:pPr>
            <w:r>
              <w:rPr>
                <w:rFonts w:hint="eastAsia" w:hAnsi="宋体"/>
                <w:b/>
                <w:sz w:val="21"/>
                <w:szCs w:val="21"/>
              </w:rPr>
              <w:t>居住区</w:t>
            </w:r>
          </w:p>
        </w:tc>
        <w:tc>
          <w:tcPr>
            <w:tcW w:w="1164" w:type="dxa"/>
            <w:vAlign w:val="center"/>
          </w:tcPr>
          <w:p>
            <w:pPr>
              <w:adjustRightInd w:val="0"/>
              <w:snapToGrid w:val="0"/>
              <w:spacing w:line="360" w:lineRule="exact"/>
              <w:jc w:val="center"/>
              <w:rPr>
                <w:rFonts w:hAnsi="宋体"/>
                <w:b/>
                <w:sz w:val="21"/>
                <w:szCs w:val="21"/>
              </w:rPr>
            </w:pPr>
            <w:r>
              <w:rPr>
                <w:rFonts w:hint="eastAsia" w:hAnsi="宋体"/>
                <w:b/>
                <w:sz w:val="21"/>
                <w:szCs w:val="21"/>
              </w:rPr>
              <w:t>小区</w:t>
            </w:r>
          </w:p>
        </w:tc>
        <w:tc>
          <w:tcPr>
            <w:tcW w:w="1165" w:type="dxa"/>
            <w:vAlign w:val="center"/>
          </w:tcPr>
          <w:p>
            <w:pPr>
              <w:adjustRightInd w:val="0"/>
              <w:snapToGrid w:val="0"/>
              <w:spacing w:line="360" w:lineRule="exact"/>
              <w:jc w:val="center"/>
              <w:rPr>
                <w:rFonts w:hAnsi="宋体"/>
                <w:b/>
                <w:sz w:val="21"/>
                <w:szCs w:val="21"/>
              </w:rPr>
            </w:pPr>
            <w:r>
              <w:rPr>
                <w:rFonts w:hint="eastAsia" w:hAnsi="宋体"/>
                <w:b/>
                <w:sz w:val="21"/>
                <w:szCs w:val="21"/>
              </w:rPr>
              <w:t>组团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05" w:type="dxa"/>
            <w:vMerge w:val="restart"/>
            <w:textDirection w:val="tbRlV"/>
            <w:vAlign w:val="center"/>
          </w:tcPr>
          <w:p>
            <w:pPr>
              <w:adjustRightInd w:val="0"/>
              <w:snapToGrid w:val="0"/>
              <w:spacing w:line="0" w:lineRule="atLeast"/>
              <w:jc w:val="center"/>
              <w:rPr>
                <w:rFonts w:hAnsi="宋体"/>
                <w:b/>
                <w:sz w:val="21"/>
                <w:szCs w:val="21"/>
              </w:rPr>
            </w:pPr>
            <w:r>
              <w:rPr>
                <w:rFonts w:hint="eastAsia" w:hAnsi="宋体"/>
                <w:b/>
                <w:sz w:val="21"/>
                <w:szCs w:val="21"/>
              </w:rPr>
              <w:t>旧  城  区</w:t>
            </w: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1～3层</w:t>
            </w:r>
          </w:p>
        </w:tc>
        <w:tc>
          <w:tcPr>
            <w:tcW w:w="1164" w:type="dxa"/>
            <w:tcBorders>
              <w:tr2bl w:val="single" w:color="auto" w:sz="4" w:space="0"/>
            </w:tcBorders>
            <w:vAlign w:val="center"/>
          </w:tcPr>
          <w:p>
            <w:pPr>
              <w:adjustRightInd w:val="0"/>
              <w:snapToGrid w:val="0"/>
              <w:spacing w:line="0" w:lineRule="atLeast"/>
              <w:jc w:val="center"/>
              <w:rPr>
                <w:rFonts w:hAnsi="宋体"/>
                <w:sz w:val="21"/>
                <w:szCs w:val="21"/>
              </w:rPr>
            </w:pP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1.5</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1.6</w:t>
            </w:r>
          </w:p>
        </w:tc>
        <w:tc>
          <w:tcPr>
            <w:tcW w:w="1164" w:type="dxa"/>
            <w:tcBorders>
              <w:tr2bl w:val="single" w:color="auto" w:sz="4" w:space="0"/>
            </w:tcBorders>
            <w:vAlign w:val="center"/>
          </w:tcPr>
          <w:p>
            <w:pPr>
              <w:adjustRightInd w:val="0"/>
              <w:snapToGrid w:val="0"/>
              <w:spacing w:line="0" w:lineRule="atLeast"/>
              <w:jc w:val="center"/>
              <w:rPr>
                <w:rFonts w:hAnsi="宋体"/>
                <w:sz w:val="21"/>
                <w:szCs w:val="21"/>
              </w:rPr>
            </w:pP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50</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05" w:type="dxa"/>
            <w:vMerge w:val="continue"/>
            <w:vAlign w:val="center"/>
          </w:tcPr>
          <w:p>
            <w:pPr>
              <w:adjustRightInd w:val="0"/>
              <w:snapToGrid w:val="0"/>
              <w:spacing w:line="0" w:lineRule="atLeast"/>
              <w:jc w:val="center"/>
              <w:rPr>
                <w:rFonts w:hAnsi="宋体"/>
                <w:b/>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4～9层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1.9</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2.4</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2.7</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32</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40</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05" w:type="dxa"/>
            <w:vMerge w:val="continue"/>
            <w:vAlign w:val="center"/>
          </w:tcPr>
          <w:p>
            <w:pPr>
              <w:adjustRightInd w:val="0"/>
              <w:snapToGrid w:val="0"/>
              <w:spacing w:line="0" w:lineRule="atLeast"/>
              <w:jc w:val="center"/>
              <w:rPr>
                <w:rFonts w:hAnsi="宋体"/>
                <w:b/>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10～18层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2.4</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3.4</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38</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05" w:type="dxa"/>
            <w:vMerge w:val="continue"/>
            <w:vAlign w:val="center"/>
          </w:tcPr>
          <w:p>
            <w:pPr>
              <w:adjustRightInd w:val="0"/>
              <w:snapToGrid w:val="0"/>
              <w:spacing w:line="0" w:lineRule="atLeast"/>
              <w:jc w:val="center"/>
              <w:rPr>
                <w:rFonts w:hAnsi="宋体"/>
                <w:b/>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≥19层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w:t>
            </w:r>
            <w:r>
              <w:rPr>
                <w:rFonts w:hAnsi="宋体"/>
                <w:sz w:val="21"/>
                <w:szCs w:val="21"/>
              </w:rPr>
              <w:t>2</w:t>
            </w:r>
          </w:p>
        </w:tc>
        <w:tc>
          <w:tcPr>
            <w:tcW w:w="1164" w:type="dxa"/>
            <w:vAlign w:val="center"/>
          </w:tcPr>
          <w:p>
            <w:pPr>
              <w:adjustRightInd w:val="0"/>
              <w:snapToGrid w:val="0"/>
              <w:spacing w:line="0" w:lineRule="atLeast"/>
              <w:jc w:val="center"/>
              <w:rPr>
                <w:rFonts w:hAnsi="宋体"/>
                <w:sz w:val="21"/>
                <w:szCs w:val="21"/>
              </w:rPr>
            </w:pPr>
            <w:r>
              <w:rPr>
                <w:rFonts w:hAnsi="宋体"/>
                <w:sz w:val="21"/>
                <w:szCs w:val="21"/>
              </w:rPr>
              <w:t>3.8</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4.</w:t>
            </w:r>
            <w:r>
              <w:rPr>
                <w:rFonts w:hAnsi="宋体"/>
                <w:sz w:val="21"/>
                <w:szCs w:val="21"/>
              </w:rPr>
              <w:t>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23</w:t>
            </w:r>
          </w:p>
        </w:tc>
        <w:tc>
          <w:tcPr>
            <w:tcW w:w="1164" w:type="dxa"/>
            <w:vAlign w:val="center"/>
          </w:tcPr>
          <w:p>
            <w:pPr>
              <w:adjustRightInd w:val="0"/>
              <w:snapToGrid w:val="0"/>
              <w:spacing w:line="0" w:lineRule="atLeast"/>
              <w:jc w:val="center"/>
              <w:rPr>
                <w:rFonts w:hAnsi="宋体"/>
                <w:sz w:val="21"/>
                <w:szCs w:val="21"/>
              </w:rPr>
            </w:pPr>
            <w:r>
              <w:rPr>
                <w:rFonts w:hAnsi="宋体"/>
                <w:sz w:val="21"/>
                <w:szCs w:val="21"/>
              </w:rPr>
              <w:t>24</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05" w:type="dxa"/>
            <w:vMerge w:val="restart"/>
            <w:textDirection w:val="tbRlV"/>
            <w:vAlign w:val="center"/>
          </w:tcPr>
          <w:p>
            <w:pPr>
              <w:adjustRightInd w:val="0"/>
              <w:snapToGrid w:val="0"/>
              <w:spacing w:line="0" w:lineRule="atLeast"/>
              <w:jc w:val="center"/>
              <w:rPr>
                <w:rFonts w:hAnsi="宋体"/>
                <w:b/>
                <w:sz w:val="21"/>
                <w:szCs w:val="21"/>
              </w:rPr>
            </w:pPr>
            <w:r>
              <w:rPr>
                <w:rFonts w:hint="eastAsia" w:hAnsi="宋体"/>
                <w:b/>
                <w:sz w:val="21"/>
                <w:szCs w:val="21"/>
              </w:rPr>
              <w:t>非 旧 城 区</w:t>
            </w: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1～3层</w:t>
            </w:r>
          </w:p>
        </w:tc>
        <w:tc>
          <w:tcPr>
            <w:tcW w:w="1164" w:type="dxa"/>
            <w:tcBorders>
              <w:tr2bl w:val="single" w:color="auto" w:sz="4" w:space="0"/>
            </w:tcBorders>
            <w:vAlign w:val="center"/>
          </w:tcPr>
          <w:p>
            <w:pPr>
              <w:adjustRightInd w:val="0"/>
              <w:snapToGrid w:val="0"/>
              <w:spacing w:line="0" w:lineRule="atLeast"/>
              <w:jc w:val="center"/>
              <w:rPr>
                <w:rFonts w:hAnsi="宋体"/>
                <w:sz w:val="21"/>
                <w:szCs w:val="21"/>
              </w:rPr>
            </w:pP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1.3</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1.5</w:t>
            </w:r>
          </w:p>
        </w:tc>
        <w:tc>
          <w:tcPr>
            <w:tcW w:w="1164" w:type="dxa"/>
            <w:tcBorders>
              <w:tr2bl w:val="single" w:color="auto" w:sz="4" w:space="0"/>
            </w:tcBorders>
            <w:vAlign w:val="center"/>
          </w:tcPr>
          <w:p>
            <w:pPr>
              <w:adjustRightInd w:val="0"/>
              <w:snapToGrid w:val="0"/>
              <w:spacing w:line="0" w:lineRule="atLeast"/>
              <w:jc w:val="center"/>
              <w:rPr>
                <w:rFonts w:hAnsi="宋体"/>
                <w:sz w:val="21"/>
                <w:szCs w:val="21"/>
              </w:rPr>
            </w:pP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40</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05" w:type="dxa"/>
            <w:vMerge w:val="continue"/>
          </w:tcPr>
          <w:p>
            <w:pPr>
              <w:adjustRightInd w:val="0"/>
              <w:snapToGrid w:val="0"/>
              <w:spacing w:line="0" w:lineRule="atLeast"/>
              <w:jc w:val="center"/>
              <w:rPr>
                <w:rFonts w:hAnsi="宋体"/>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4～9层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1.6</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2.2</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26</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30</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05" w:type="dxa"/>
            <w:vMerge w:val="continue"/>
          </w:tcPr>
          <w:p>
            <w:pPr>
              <w:adjustRightInd w:val="0"/>
              <w:snapToGrid w:val="0"/>
              <w:spacing w:line="0" w:lineRule="atLeast"/>
              <w:jc w:val="center"/>
              <w:rPr>
                <w:rFonts w:hAnsi="宋体"/>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10～18层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2.5</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2.8</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25</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28</w:t>
            </w:r>
          </w:p>
        </w:tc>
        <w:tc>
          <w:tcPr>
            <w:tcW w:w="1165" w:type="dxa"/>
            <w:vAlign w:val="center"/>
          </w:tcPr>
          <w:p>
            <w:pPr>
              <w:adjustRightInd w:val="0"/>
              <w:snapToGrid w:val="0"/>
              <w:spacing w:line="0" w:lineRule="atLeast"/>
              <w:jc w:val="center"/>
              <w:rPr>
                <w:rFonts w:hAnsi="宋体"/>
                <w:sz w:val="21"/>
                <w:szCs w:val="21"/>
              </w:rPr>
            </w:pPr>
            <w:r>
              <w:rPr>
                <w:rFonts w:hAnsi="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05" w:type="dxa"/>
            <w:vMerge w:val="continue"/>
          </w:tcPr>
          <w:p>
            <w:pPr>
              <w:adjustRightInd w:val="0"/>
              <w:snapToGrid w:val="0"/>
              <w:spacing w:line="0" w:lineRule="atLeast"/>
              <w:jc w:val="center"/>
              <w:rPr>
                <w:rFonts w:hAnsi="宋体"/>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≥19层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2.5</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3.5</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22</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w:t>
            </w:r>
            <w:r>
              <w:rPr>
                <w:rFonts w:hAnsi="宋体"/>
                <w:sz w:val="21"/>
                <w:szCs w:val="21"/>
              </w:rPr>
              <w:t>5</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2</w:t>
            </w:r>
            <w:r>
              <w:rPr>
                <w:rFonts w:hAnsi="宋体"/>
                <w:sz w:val="21"/>
                <w:szCs w:val="21"/>
              </w:rPr>
              <w:t>8</w:t>
            </w:r>
          </w:p>
        </w:tc>
      </w:tr>
    </w:tbl>
    <w:p>
      <w:pPr>
        <w:spacing w:line="400" w:lineRule="exact"/>
        <w:ind w:left="720" w:hanging="720" w:hangingChars="300"/>
        <w:rPr>
          <w:sz w:val="24"/>
          <w:szCs w:val="24"/>
        </w:rPr>
      </w:pPr>
      <w:r>
        <w:rPr>
          <w:rFonts w:hint="eastAsia"/>
          <w:sz w:val="24"/>
          <w:szCs w:val="24"/>
        </w:rPr>
        <w:t>注：1、中心城区旧城区范围详见附录—9.4中心城区旧城区范围图，各镇的旧城区由各镇自行划定；</w:t>
      </w:r>
    </w:p>
    <w:p>
      <w:pPr>
        <w:spacing w:line="400" w:lineRule="exact"/>
        <w:ind w:left="836" w:leftChars="170" w:hanging="360" w:hangingChars="150"/>
        <w:rPr>
          <w:sz w:val="24"/>
          <w:szCs w:val="24"/>
        </w:rPr>
      </w:pPr>
      <w:r>
        <w:rPr>
          <w:rFonts w:hint="eastAsia"/>
          <w:sz w:val="24"/>
          <w:szCs w:val="24"/>
        </w:rPr>
        <w:t>2、本表的容积率控制指标均为上限；</w:t>
      </w:r>
    </w:p>
    <w:p>
      <w:pPr>
        <w:spacing w:line="400" w:lineRule="exact"/>
        <w:ind w:left="836" w:leftChars="170" w:hanging="360" w:hangingChars="150"/>
        <w:rPr>
          <w:sz w:val="24"/>
          <w:szCs w:val="24"/>
        </w:rPr>
      </w:pPr>
      <w:r>
        <w:rPr>
          <w:rFonts w:hint="eastAsia"/>
          <w:sz w:val="24"/>
          <w:szCs w:val="24"/>
        </w:rPr>
        <w:t>3、“三旧”改造项目容积率最高不超过5.0，当用地面积小于3</w:t>
      </w:r>
      <w:r>
        <w:rPr>
          <w:sz w:val="24"/>
          <w:szCs w:val="24"/>
        </w:rPr>
        <w:t>000</w:t>
      </w:r>
      <w:r>
        <w:rPr>
          <w:rFonts w:hint="eastAsia"/>
          <w:sz w:val="24"/>
          <w:szCs w:val="24"/>
        </w:rPr>
        <w:t>平方米时最高不超过6.0；</w:t>
      </w:r>
    </w:p>
    <w:p>
      <w:pPr>
        <w:spacing w:line="400" w:lineRule="exact"/>
        <w:ind w:left="836" w:leftChars="170" w:hanging="360" w:hangingChars="150"/>
        <w:rPr>
          <w:sz w:val="24"/>
          <w:szCs w:val="24"/>
        </w:rPr>
      </w:pPr>
      <w:r>
        <w:rPr>
          <w:sz w:val="24"/>
          <w:szCs w:val="24"/>
        </w:rPr>
        <w:t>4</w:t>
      </w:r>
      <w:r>
        <w:rPr>
          <w:rFonts w:hint="eastAsia"/>
          <w:sz w:val="24"/>
          <w:szCs w:val="24"/>
        </w:rPr>
        <w:t>、人口规模按照每户1</w:t>
      </w:r>
      <w:r>
        <w:rPr>
          <w:sz w:val="24"/>
          <w:szCs w:val="24"/>
        </w:rPr>
        <w:t>20</w:t>
      </w:r>
      <w:r>
        <w:rPr>
          <w:rFonts w:hint="eastAsia"/>
          <w:sz w:val="24"/>
          <w:szCs w:val="24"/>
        </w:rPr>
        <w:t>平方米住宅建筑面积，每户3.2人的标准计算；</w:t>
      </w:r>
    </w:p>
    <w:p>
      <w:pPr>
        <w:spacing w:after="269" w:afterLines="50" w:line="400" w:lineRule="exact"/>
        <w:ind w:left="836" w:leftChars="170" w:hanging="360" w:hangingChars="150"/>
        <w:rPr>
          <w:sz w:val="24"/>
          <w:szCs w:val="24"/>
        </w:rPr>
      </w:pPr>
      <w:r>
        <w:rPr>
          <w:rFonts w:hint="eastAsia"/>
          <w:sz w:val="24"/>
          <w:szCs w:val="24"/>
        </w:rPr>
        <w:t>5、因布局的合理性需要，经市城市规划委员会审议通过，在不突破容积率的前提下建筑密度经规划部门审批可增加一至五个百分点。</w:t>
      </w:r>
    </w:p>
    <w:p>
      <w:pPr>
        <w:pStyle w:val="22"/>
        <w:numPr>
          <w:ilvl w:val="2"/>
          <w:numId w:val="1"/>
        </w:numPr>
        <w:ind w:left="0" w:firstLine="560"/>
      </w:pPr>
      <w:r>
        <w:rPr>
          <w:rFonts w:hint="eastAsia"/>
        </w:rPr>
        <w:t>居住用地规模应按表2</w:t>
      </w:r>
      <w:r>
        <w:t>.3.2</w:t>
      </w:r>
      <w:r>
        <w:rPr>
          <w:rFonts w:hint="eastAsia"/>
        </w:rPr>
        <w:t>的规定进行控制。当居住用地规模处于居住区与小区之间时，开发强度参照表2</w:t>
      </w:r>
      <w:r>
        <w:t>.4.1</w:t>
      </w:r>
      <w:r>
        <w:rPr>
          <w:rFonts w:hint="eastAsia"/>
        </w:rPr>
        <w:t>居住区的指标执行；用地规模处于小区与组团之间时，开发强度参照表2</w:t>
      </w:r>
      <w:r>
        <w:t>.4.1</w:t>
      </w:r>
      <w:r>
        <w:rPr>
          <w:rFonts w:hint="eastAsia"/>
        </w:rPr>
        <w:t>小区的指标执行；用地规模小于组团的，开发强度参照表2</w:t>
      </w:r>
      <w:r>
        <w:t>.4.1</w:t>
      </w:r>
      <w:r>
        <w:rPr>
          <w:rFonts w:hint="eastAsia"/>
        </w:rPr>
        <w:t>组团的指标执行，但当用地面积小于3000平方米时</w:t>
      </w:r>
      <w:r>
        <w:rPr>
          <w:rFonts w:hint="eastAsia"/>
          <w:szCs w:val="28"/>
        </w:rPr>
        <w:t>，经市城市规划委员会审议通过容积率最高可放宽至6</w:t>
      </w:r>
      <w:r>
        <w:rPr>
          <w:szCs w:val="28"/>
        </w:rPr>
        <w:t>.0</w:t>
      </w:r>
      <w:r>
        <w:rPr>
          <w:rFonts w:hint="eastAsia"/>
          <w:szCs w:val="28"/>
        </w:rPr>
        <w:t>，建筑密度也可适当放宽</w:t>
      </w:r>
      <w:r>
        <w:rPr>
          <w:rFonts w:hint="eastAsia"/>
        </w:rPr>
        <w:t>。</w:t>
      </w:r>
    </w:p>
    <w:p>
      <w:pPr>
        <w:pStyle w:val="22"/>
        <w:ind w:firstLine="560"/>
      </w:pPr>
      <w:r>
        <w:rPr>
          <w:rFonts w:hint="eastAsia"/>
        </w:rPr>
        <w:t>整合零散用地统一开发的项目，</w:t>
      </w:r>
      <w:r>
        <w:rPr>
          <w:rFonts w:hint="eastAsia"/>
          <w:szCs w:val="28"/>
        </w:rPr>
        <w:t>经市城市规划委员会审议通过容积率</w:t>
      </w:r>
      <w:r>
        <w:rPr>
          <w:rFonts w:hint="eastAsia"/>
        </w:rPr>
        <w:t>和建筑密度可参照表2.4.1相应规模上浮25%。原相邻地块间的规划技术指标可综合平衡。</w:t>
      </w:r>
    </w:p>
    <w:p>
      <w:pPr>
        <w:pStyle w:val="22"/>
        <w:ind w:firstLine="560"/>
      </w:pPr>
      <w:r>
        <w:rPr>
          <w:rFonts w:hint="eastAsia"/>
        </w:rPr>
        <w:t>因用地存在历史遗留问题亟需解决，否则会影响吴川社会稳定的，经市政府批准容积率最高可放宽至6</w:t>
      </w:r>
      <w:r>
        <w:t>.0</w:t>
      </w:r>
      <w:r>
        <w:rPr>
          <w:rFonts w:hint="eastAsia"/>
        </w:rPr>
        <w:t>，建筑密度也可适当放宽。</w:t>
      </w:r>
    </w:p>
    <w:p>
      <w:pPr>
        <w:pStyle w:val="22"/>
        <w:numPr>
          <w:ilvl w:val="2"/>
          <w:numId w:val="1"/>
        </w:numPr>
        <w:ind w:left="0" w:firstLine="560"/>
      </w:pPr>
      <w:r>
        <w:rPr>
          <w:rFonts w:hint="eastAsia"/>
        </w:rPr>
        <w:t>用地不满足配套停车位等公共服务设施的，须相应下调容积率。</w:t>
      </w:r>
    </w:p>
    <w:p>
      <w:pPr>
        <w:pStyle w:val="22"/>
        <w:numPr>
          <w:ilvl w:val="2"/>
          <w:numId w:val="1"/>
        </w:numPr>
        <w:ind w:left="0" w:firstLine="560"/>
      </w:pPr>
      <w:r>
        <w:rPr>
          <w:rFonts w:hint="eastAsia"/>
        </w:rPr>
        <w:t>居住用地配套公共服务设施建筑面积所占比例不大于地块计容总建筑面积20%（包括用地规模小于5公顷，商业服务业与住宅在同一建筑中混合设置，且住宅为主导功能）的，配套公共服务设施（商业服务业）开发强度应按表2.</w:t>
      </w:r>
      <w:r>
        <w:t>4</w:t>
      </w:r>
      <w:r>
        <w:rPr>
          <w:rFonts w:hint="eastAsia"/>
        </w:rPr>
        <w:t>.1规定执行。</w:t>
      </w:r>
    </w:p>
    <w:p>
      <w:pPr>
        <w:pStyle w:val="22"/>
        <w:numPr>
          <w:ilvl w:val="2"/>
          <w:numId w:val="1"/>
        </w:numPr>
        <w:ind w:left="0" w:firstLine="560"/>
      </w:pPr>
      <w:r>
        <w:rPr>
          <w:rFonts w:hint="eastAsia"/>
        </w:rPr>
        <w:t>规划居住用地规模5公顷以上，承担片区商业服务业项目时，且商业服务业项目所占比例大于项目地块计容总建筑面积的20%，商业服务业项目的开发强度可按表</w:t>
      </w:r>
      <w:r>
        <w:t>2.5.1</w:t>
      </w:r>
      <w:r>
        <w:rPr>
          <w:rFonts w:hint="eastAsia"/>
        </w:rPr>
        <w:t>指标确定。</w:t>
      </w:r>
    </w:p>
    <w:p>
      <w:pPr>
        <w:pStyle w:val="22"/>
        <w:numPr>
          <w:ilvl w:val="2"/>
          <w:numId w:val="1"/>
        </w:numPr>
        <w:ind w:left="0" w:firstLine="560"/>
      </w:pPr>
      <w:r>
        <w:rPr>
          <w:rFonts w:hint="eastAsia"/>
        </w:rPr>
        <w:t>鼓励全装修住宅建设。如建设单位承诺全装修的住宅户数等于100%的，可按全装修住宅建筑面积的5%奖励建筑面积。奖励建筑面积在满足增加住宅相应配套公共服务设施前提下，可不纳入容积率计算。规划核实时尚未实施，或未达到承诺全装修住宅建筑面积比例的，其奖励住宅建筑面积的差额部分由政府无偿收回用作保障性住房。全装修的建设项目在建设工程规划许可后，应将建设工程全装修的范围方案报城市规划主管部门审批，作为规划核实的依据。</w:t>
      </w:r>
    </w:p>
    <w:p>
      <w:pPr>
        <w:pStyle w:val="22"/>
        <w:ind w:firstLineChars="0"/>
      </w:pPr>
    </w:p>
    <w:p>
      <w:pPr>
        <w:pStyle w:val="3"/>
        <w:numPr>
          <w:ilvl w:val="1"/>
          <w:numId w:val="1"/>
        </w:numPr>
        <w:ind w:left="941" w:hanging="940" w:hangingChars="294"/>
        <w:rPr>
          <w:lang w:eastAsia="zh-CN"/>
        </w:rPr>
      </w:pPr>
      <w:bookmarkStart w:id="6" w:name="_Toc523230030"/>
      <w:r>
        <w:rPr>
          <w:rFonts w:hint="eastAsia"/>
          <w:lang w:eastAsia="zh-CN"/>
        </w:rPr>
        <w:t>商业服务业用地开发强度</w:t>
      </w:r>
      <w:bookmarkEnd w:id="6"/>
    </w:p>
    <w:p>
      <w:pPr>
        <w:pStyle w:val="22"/>
        <w:numPr>
          <w:ilvl w:val="2"/>
          <w:numId w:val="1"/>
        </w:numPr>
        <w:ind w:left="0" w:firstLine="560"/>
      </w:pPr>
      <w:r>
        <w:rPr>
          <w:rFonts w:hint="eastAsia"/>
        </w:rPr>
        <w:t>商业服务业用地开发强度应符合表2</w:t>
      </w:r>
      <w:r>
        <w:t>.5.1</w:t>
      </w:r>
      <w:r>
        <w:rPr>
          <w:rFonts w:hint="eastAsia"/>
        </w:rPr>
        <w:t>规定。</w:t>
      </w:r>
    </w:p>
    <w:p>
      <w:pPr>
        <w:pStyle w:val="22"/>
        <w:numPr>
          <w:ilvl w:val="2"/>
          <w:numId w:val="1"/>
        </w:numPr>
        <w:ind w:left="0" w:firstLine="560"/>
      </w:pPr>
      <w:r>
        <w:rPr>
          <w:rFonts w:hint="eastAsia"/>
        </w:rPr>
        <w:t>规划用地性质为商业服务业，当其满足居住（新增住宅）配套的公共服务设施时，可兼容不大于项目地块计容总建筑面积40%的住宅。住宅与商业服务业建筑容积率分别按表2.4.1和2.5.1确定，且住宅不应与办公、酒店用房拼建或叠建。</w:t>
      </w:r>
    </w:p>
    <w:p>
      <w:pPr>
        <w:pStyle w:val="22"/>
        <w:ind w:firstLineChars="0"/>
      </w:pPr>
    </w:p>
    <w:p>
      <w:pPr>
        <w:pStyle w:val="6"/>
        <w:keepNext/>
        <w:rPr>
          <w:sz w:val="24"/>
          <w:szCs w:val="24"/>
        </w:rPr>
      </w:pPr>
      <w:r>
        <w:rPr>
          <w:rFonts w:hint="eastAsia"/>
          <w:sz w:val="24"/>
          <w:szCs w:val="24"/>
        </w:rPr>
        <w:t>表</w:t>
      </w:r>
      <w:r>
        <w:rPr>
          <w:sz w:val="24"/>
          <w:szCs w:val="24"/>
        </w:rPr>
        <w:t xml:space="preserve">2.5.1 </w:t>
      </w:r>
      <w:r>
        <w:rPr>
          <w:rFonts w:hint="eastAsia"/>
          <w:sz w:val="24"/>
          <w:szCs w:val="24"/>
        </w:rPr>
        <w:t>商业服务业用地容积率和建筑密度控制指标</w:t>
      </w:r>
    </w:p>
    <w:tbl>
      <w:tblPr>
        <w:tblStyle w:val="18"/>
        <w:tblW w:w="93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72"/>
        <w:gridCol w:w="1545"/>
        <w:gridCol w:w="1543"/>
        <w:gridCol w:w="1543"/>
        <w:gridCol w:w="15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172"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hAnsi="宋体"/>
                <w:b/>
                <w:kern w:val="0"/>
                <w:sz w:val="21"/>
                <w:szCs w:val="21"/>
              </w:rPr>
            </w:pPr>
            <w:r>
              <w:rPr>
                <w:rFonts w:hint="eastAsia" w:hAnsi="宋体"/>
                <w:b/>
                <w:kern w:val="0"/>
                <w:sz w:val="21"/>
                <w:szCs w:val="21"/>
              </w:rPr>
              <w:t>建筑高度（米）</w:t>
            </w:r>
          </w:p>
        </w:tc>
        <w:tc>
          <w:tcPr>
            <w:tcW w:w="3088" w:type="dxa"/>
            <w:gridSpan w:val="2"/>
            <w:tcBorders>
              <w:left w:val="single" w:color="auto" w:sz="4" w:space="0"/>
            </w:tcBorders>
            <w:vAlign w:val="center"/>
          </w:tcPr>
          <w:p>
            <w:pPr>
              <w:spacing w:line="260" w:lineRule="exact"/>
              <w:ind w:left="900" w:hanging="900"/>
              <w:jc w:val="center"/>
              <w:rPr>
                <w:rFonts w:hAnsi="宋体"/>
                <w:b/>
                <w:kern w:val="0"/>
                <w:sz w:val="21"/>
                <w:szCs w:val="21"/>
              </w:rPr>
            </w:pPr>
            <w:r>
              <w:rPr>
                <w:rFonts w:hint="eastAsia" w:hAnsi="宋体"/>
                <w:b/>
                <w:kern w:val="0"/>
                <w:sz w:val="21"/>
                <w:szCs w:val="21"/>
              </w:rPr>
              <w:t>旧  城   区</w:t>
            </w:r>
          </w:p>
        </w:tc>
        <w:tc>
          <w:tcPr>
            <w:tcW w:w="3086" w:type="dxa"/>
            <w:gridSpan w:val="2"/>
            <w:vAlign w:val="center"/>
          </w:tcPr>
          <w:p>
            <w:pPr>
              <w:spacing w:line="260" w:lineRule="exact"/>
              <w:ind w:left="900" w:hanging="900"/>
              <w:jc w:val="center"/>
              <w:rPr>
                <w:rFonts w:hAnsi="宋体"/>
                <w:b/>
                <w:kern w:val="0"/>
                <w:sz w:val="21"/>
                <w:szCs w:val="21"/>
              </w:rPr>
            </w:pPr>
            <w:r>
              <w:rPr>
                <w:rFonts w:hint="eastAsia" w:hAnsi="宋体"/>
                <w:b/>
                <w:kern w:val="0"/>
                <w:sz w:val="21"/>
                <w:szCs w:val="21"/>
              </w:rPr>
              <w:t>非 旧 城 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172" w:type="dxa"/>
            <w:vMerge w:val="continue"/>
            <w:tcBorders>
              <w:left w:val="single" w:color="auto" w:sz="4" w:space="0"/>
              <w:right w:val="single" w:color="auto" w:sz="4" w:space="0"/>
            </w:tcBorders>
            <w:vAlign w:val="center"/>
          </w:tcPr>
          <w:p>
            <w:pPr>
              <w:widowControl/>
              <w:spacing w:line="260" w:lineRule="exact"/>
              <w:ind w:left="900" w:hanging="900"/>
              <w:jc w:val="center"/>
              <w:rPr>
                <w:rFonts w:hAnsi="宋体"/>
                <w:b/>
                <w:kern w:val="0"/>
                <w:sz w:val="21"/>
                <w:szCs w:val="21"/>
              </w:rPr>
            </w:pPr>
          </w:p>
        </w:tc>
        <w:tc>
          <w:tcPr>
            <w:tcW w:w="1545" w:type="dxa"/>
            <w:tcBorders>
              <w:left w:val="single" w:color="auto" w:sz="4" w:space="0"/>
            </w:tcBorders>
            <w:vAlign w:val="center"/>
          </w:tcPr>
          <w:p>
            <w:pPr>
              <w:widowControl/>
              <w:spacing w:line="260" w:lineRule="exact"/>
              <w:ind w:left="1069" w:leftChars="182" w:hanging="559" w:hangingChars="265"/>
              <w:rPr>
                <w:rFonts w:hAnsi="宋体"/>
                <w:b/>
                <w:kern w:val="0"/>
                <w:sz w:val="21"/>
                <w:szCs w:val="21"/>
              </w:rPr>
            </w:pPr>
            <w:r>
              <w:rPr>
                <w:rFonts w:hint="eastAsia" w:hAnsi="宋体"/>
                <w:b/>
                <w:sz w:val="21"/>
                <w:szCs w:val="21"/>
              </w:rPr>
              <w:t>容积率</w:t>
            </w:r>
          </w:p>
        </w:tc>
        <w:tc>
          <w:tcPr>
            <w:tcW w:w="1543" w:type="dxa"/>
            <w:vAlign w:val="center"/>
          </w:tcPr>
          <w:p>
            <w:pPr>
              <w:widowControl/>
              <w:spacing w:line="260" w:lineRule="exact"/>
              <w:ind w:left="900" w:hanging="900"/>
              <w:jc w:val="center"/>
              <w:rPr>
                <w:rFonts w:hAnsi="宋体"/>
                <w:b/>
                <w:kern w:val="0"/>
                <w:sz w:val="21"/>
                <w:szCs w:val="21"/>
              </w:rPr>
            </w:pPr>
            <w:r>
              <w:rPr>
                <w:rFonts w:hint="eastAsia" w:hAnsi="宋体"/>
                <w:b/>
                <w:sz w:val="21"/>
                <w:szCs w:val="21"/>
              </w:rPr>
              <w:t>建筑密度</w:t>
            </w:r>
          </w:p>
        </w:tc>
        <w:tc>
          <w:tcPr>
            <w:tcW w:w="1543" w:type="dxa"/>
            <w:vAlign w:val="center"/>
          </w:tcPr>
          <w:p>
            <w:pPr>
              <w:widowControl/>
              <w:spacing w:line="260" w:lineRule="exact"/>
              <w:ind w:left="900" w:hanging="900"/>
              <w:jc w:val="center"/>
              <w:rPr>
                <w:rFonts w:hAnsi="宋体"/>
                <w:b/>
                <w:kern w:val="0"/>
                <w:sz w:val="21"/>
                <w:szCs w:val="21"/>
              </w:rPr>
            </w:pPr>
            <w:r>
              <w:rPr>
                <w:rFonts w:hint="eastAsia" w:hAnsi="宋体"/>
                <w:b/>
                <w:kern w:val="0"/>
                <w:sz w:val="21"/>
                <w:szCs w:val="21"/>
              </w:rPr>
              <w:t>容积率</w:t>
            </w:r>
          </w:p>
        </w:tc>
        <w:tc>
          <w:tcPr>
            <w:tcW w:w="1543" w:type="dxa"/>
            <w:vAlign w:val="center"/>
          </w:tcPr>
          <w:p>
            <w:pPr>
              <w:widowControl/>
              <w:spacing w:line="260" w:lineRule="exact"/>
              <w:ind w:left="900" w:hanging="900"/>
              <w:jc w:val="center"/>
              <w:rPr>
                <w:rFonts w:hAnsi="宋体"/>
                <w:b/>
                <w:kern w:val="0"/>
                <w:sz w:val="21"/>
                <w:szCs w:val="21"/>
              </w:rPr>
            </w:pPr>
            <w:r>
              <w:rPr>
                <w:rFonts w:hint="eastAsia" w:hAnsi="宋体"/>
                <w:b/>
                <w:kern w:val="0"/>
                <w:sz w:val="21"/>
                <w:szCs w:val="21"/>
              </w:rPr>
              <w:t>建筑密度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172" w:type="dxa"/>
            <w:tcBorders>
              <w:top w:val="single" w:color="auto" w:sz="4" w:space="0"/>
              <w:bottom w:val="single" w:color="auto" w:sz="4" w:space="0"/>
              <w:right w:val="single" w:color="auto" w:sz="4" w:space="0"/>
            </w:tcBorders>
            <w:vAlign w:val="center"/>
          </w:tcPr>
          <w:p>
            <w:pPr>
              <w:widowControl/>
              <w:spacing w:line="260" w:lineRule="exact"/>
              <w:ind w:left="957" w:hanging="900"/>
              <w:jc w:val="center"/>
              <w:rPr>
                <w:rFonts w:hAnsi="宋体"/>
                <w:b/>
                <w:kern w:val="0"/>
                <w:sz w:val="21"/>
                <w:szCs w:val="21"/>
              </w:rPr>
            </w:pPr>
            <w:r>
              <w:rPr>
                <w:rFonts w:hint="eastAsia" w:hAnsi="宋体"/>
                <w:b/>
                <w:sz w:val="21"/>
                <w:szCs w:val="21"/>
              </w:rPr>
              <w:t>＜24</w:t>
            </w:r>
          </w:p>
        </w:tc>
        <w:tc>
          <w:tcPr>
            <w:tcW w:w="1545" w:type="dxa"/>
            <w:tcBorders>
              <w:left w:val="single" w:color="auto" w:sz="4" w:space="0"/>
            </w:tcBorders>
            <w:vAlign w:val="center"/>
          </w:tcPr>
          <w:p>
            <w:pPr>
              <w:widowControl/>
              <w:spacing w:line="260" w:lineRule="exact"/>
              <w:jc w:val="center"/>
              <w:rPr>
                <w:rFonts w:hAnsi="宋体"/>
                <w:kern w:val="0"/>
                <w:sz w:val="21"/>
                <w:szCs w:val="21"/>
              </w:rPr>
            </w:pPr>
            <w:r>
              <w:rPr>
                <w:rFonts w:hint="eastAsia" w:hAnsi="宋体"/>
                <w:kern w:val="0"/>
                <w:sz w:val="21"/>
                <w:szCs w:val="21"/>
              </w:rPr>
              <w:t>2.5</w:t>
            </w:r>
          </w:p>
        </w:tc>
        <w:tc>
          <w:tcPr>
            <w:tcW w:w="1543" w:type="dxa"/>
            <w:vAlign w:val="center"/>
          </w:tcPr>
          <w:p>
            <w:pPr>
              <w:widowControl/>
              <w:spacing w:line="260" w:lineRule="exact"/>
              <w:ind w:firstLine="14" w:firstLineChars="7"/>
              <w:jc w:val="center"/>
              <w:rPr>
                <w:rFonts w:hAnsi="宋体"/>
                <w:kern w:val="0"/>
                <w:sz w:val="21"/>
                <w:szCs w:val="21"/>
              </w:rPr>
            </w:pPr>
            <w:r>
              <w:rPr>
                <w:rFonts w:hint="eastAsia" w:hAnsi="宋体"/>
                <w:kern w:val="0"/>
                <w:sz w:val="21"/>
                <w:szCs w:val="21"/>
              </w:rPr>
              <w:t>55%</w:t>
            </w:r>
          </w:p>
        </w:tc>
        <w:tc>
          <w:tcPr>
            <w:tcW w:w="1543" w:type="dxa"/>
            <w:vAlign w:val="center"/>
          </w:tcPr>
          <w:p>
            <w:pPr>
              <w:widowControl/>
              <w:spacing w:line="260" w:lineRule="exact"/>
              <w:jc w:val="center"/>
              <w:rPr>
                <w:rFonts w:hAnsi="宋体"/>
                <w:kern w:val="0"/>
                <w:sz w:val="21"/>
                <w:szCs w:val="21"/>
              </w:rPr>
            </w:pPr>
            <w:r>
              <w:rPr>
                <w:rFonts w:hint="eastAsia" w:hAnsi="宋体"/>
                <w:kern w:val="0"/>
                <w:sz w:val="21"/>
                <w:szCs w:val="21"/>
              </w:rPr>
              <w:t>2.2</w:t>
            </w:r>
          </w:p>
        </w:tc>
        <w:tc>
          <w:tcPr>
            <w:tcW w:w="1543" w:type="dxa"/>
            <w:vAlign w:val="center"/>
          </w:tcPr>
          <w:p>
            <w:pPr>
              <w:widowControl/>
              <w:spacing w:line="260" w:lineRule="exact"/>
              <w:jc w:val="center"/>
              <w:rPr>
                <w:rFonts w:hAnsi="宋体"/>
                <w:kern w:val="0"/>
                <w:sz w:val="21"/>
                <w:szCs w:val="21"/>
              </w:rPr>
            </w:pPr>
            <w:r>
              <w:rPr>
                <w:rFonts w:hint="eastAsia" w:hAnsi="宋体"/>
                <w:kern w:val="0"/>
                <w:sz w:val="21"/>
                <w:szCs w:val="21"/>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172" w:type="dxa"/>
            <w:tcBorders>
              <w:top w:val="single" w:color="auto" w:sz="4" w:space="0"/>
              <w:bottom w:val="single" w:color="auto" w:sz="4" w:space="0"/>
            </w:tcBorders>
            <w:vAlign w:val="center"/>
          </w:tcPr>
          <w:p>
            <w:pPr>
              <w:widowControl/>
              <w:spacing w:line="260" w:lineRule="exact"/>
              <w:ind w:left="957" w:hanging="900"/>
              <w:jc w:val="center"/>
              <w:rPr>
                <w:rFonts w:hAnsi="宋体"/>
                <w:b/>
                <w:kern w:val="0"/>
                <w:sz w:val="21"/>
                <w:szCs w:val="21"/>
              </w:rPr>
            </w:pPr>
            <w:r>
              <w:rPr>
                <w:rFonts w:hint="eastAsia" w:hAnsi="宋体"/>
                <w:b/>
                <w:kern w:val="0"/>
                <w:sz w:val="21"/>
                <w:szCs w:val="21"/>
              </w:rPr>
              <w:t xml:space="preserve">≥24 </w:t>
            </w:r>
          </w:p>
        </w:tc>
        <w:tc>
          <w:tcPr>
            <w:tcW w:w="1545" w:type="dxa"/>
            <w:vAlign w:val="center"/>
          </w:tcPr>
          <w:p>
            <w:pPr>
              <w:widowControl/>
              <w:spacing w:line="260" w:lineRule="exact"/>
              <w:jc w:val="center"/>
              <w:rPr>
                <w:rFonts w:hAnsi="宋体"/>
                <w:kern w:val="0"/>
                <w:sz w:val="21"/>
                <w:szCs w:val="21"/>
              </w:rPr>
            </w:pPr>
            <w:r>
              <w:rPr>
                <w:rFonts w:hint="eastAsia" w:hAnsi="宋体"/>
                <w:kern w:val="0"/>
                <w:sz w:val="21"/>
                <w:szCs w:val="21"/>
              </w:rPr>
              <w:t>6.0</w:t>
            </w:r>
          </w:p>
        </w:tc>
        <w:tc>
          <w:tcPr>
            <w:tcW w:w="1543" w:type="dxa"/>
            <w:vAlign w:val="center"/>
          </w:tcPr>
          <w:p>
            <w:pPr>
              <w:widowControl/>
              <w:spacing w:line="260" w:lineRule="exact"/>
              <w:jc w:val="center"/>
              <w:rPr>
                <w:rFonts w:hAnsi="宋体"/>
                <w:kern w:val="0"/>
                <w:sz w:val="21"/>
                <w:szCs w:val="21"/>
              </w:rPr>
            </w:pPr>
            <w:r>
              <w:rPr>
                <w:rFonts w:hint="eastAsia" w:hAnsi="宋体"/>
                <w:kern w:val="0"/>
                <w:sz w:val="21"/>
                <w:szCs w:val="21"/>
              </w:rPr>
              <w:t xml:space="preserve"> 50%</w:t>
            </w:r>
          </w:p>
        </w:tc>
        <w:tc>
          <w:tcPr>
            <w:tcW w:w="1543" w:type="dxa"/>
            <w:vAlign w:val="center"/>
          </w:tcPr>
          <w:p>
            <w:pPr>
              <w:widowControl/>
              <w:spacing w:line="260" w:lineRule="exact"/>
              <w:jc w:val="center"/>
              <w:rPr>
                <w:rFonts w:hAnsi="宋体"/>
                <w:kern w:val="0"/>
                <w:sz w:val="21"/>
                <w:szCs w:val="21"/>
              </w:rPr>
            </w:pPr>
            <w:r>
              <w:rPr>
                <w:rFonts w:hint="eastAsia" w:hAnsi="宋体"/>
                <w:kern w:val="0"/>
                <w:sz w:val="21"/>
                <w:szCs w:val="21"/>
              </w:rPr>
              <w:t>6.0</w:t>
            </w:r>
          </w:p>
        </w:tc>
        <w:tc>
          <w:tcPr>
            <w:tcW w:w="1543" w:type="dxa"/>
            <w:vAlign w:val="center"/>
          </w:tcPr>
          <w:p>
            <w:pPr>
              <w:widowControl/>
              <w:spacing w:line="260" w:lineRule="exact"/>
              <w:jc w:val="center"/>
              <w:rPr>
                <w:rFonts w:hAnsi="宋体"/>
                <w:kern w:val="0"/>
                <w:sz w:val="21"/>
                <w:szCs w:val="21"/>
              </w:rPr>
            </w:pPr>
            <w:r>
              <w:rPr>
                <w:rFonts w:hint="eastAsia" w:hAnsi="宋体"/>
                <w:kern w:val="0"/>
                <w:sz w:val="21"/>
                <w:szCs w:val="21"/>
              </w:rPr>
              <w:t>45%</w:t>
            </w:r>
          </w:p>
        </w:tc>
      </w:tr>
    </w:tbl>
    <w:p>
      <w:pPr>
        <w:spacing w:line="400" w:lineRule="exact"/>
        <w:ind w:left="840" w:hanging="840" w:hangingChars="350"/>
        <w:rPr>
          <w:sz w:val="24"/>
          <w:szCs w:val="24"/>
        </w:rPr>
      </w:pPr>
      <w:r>
        <w:rPr>
          <w:rFonts w:hint="eastAsia"/>
          <w:sz w:val="24"/>
          <w:szCs w:val="24"/>
        </w:rPr>
        <w:t>注：1、本表的容积率控制指标均为上限，若用地不能满足停车位及配套设施时须相应下调容积率；</w:t>
      </w:r>
    </w:p>
    <w:p>
      <w:pPr>
        <w:spacing w:line="400" w:lineRule="exact"/>
        <w:ind w:left="836" w:leftChars="170" w:hanging="360" w:hangingChars="150"/>
        <w:rPr>
          <w:sz w:val="24"/>
          <w:szCs w:val="24"/>
        </w:rPr>
      </w:pPr>
      <w:r>
        <w:rPr>
          <w:rFonts w:hint="eastAsia"/>
          <w:sz w:val="24"/>
          <w:szCs w:val="24"/>
        </w:rPr>
        <w:t>2、本表建筑高度24米以上的建筑密度指高层建筑裙楼，塔楼建筑密度一般不应大于20%，商业建筑的中庭首层通高至屋顶见光部分建筑面积可不纳入建筑密度计算。但因布局的合理性需要，经市城市规划委员会审议通过，在不突破容积率的前提下建筑密度经规划部门审批可增加一至五个百分点。</w:t>
      </w:r>
    </w:p>
    <w:p>
      <w:pPr>
        <w:spacing w:after="269" w:afterLines="50" w:line="400" w:lineRule="exact"/>
        <w:ind w:left="836" w:leftChars="170" w:hanging="360" w:hangingChars="150"/>
      </w:pPr>
      <w:r>
        <w:rPr>
          <w:rFonts w:hint="eastAsia"/>
          <w:sz w:val="24"/>
          <w:szCs w:val="24"/>
        </w:rPr>
        <w:t>3、在满足片区道路交通、建筑环境容量和城乡景观等前提下，商业中心、城市综合体的建筑密度可适当放宽为：旧城区不大于</w:t>
      </w:r>
      <w:r>
        <w:rPr>
          <w:sz w:val="24"/>
          <w:szCs w:val="24"/>
        </w:rPr>
        <w:t>65</w:t>
      </w:r>
      <w:r>
        <w:rPr>
          <w:rFonts w:hint="eastAsia"/>
          <w:sz w:val="24"/>
          <w:szCs w:val="24"/>
        </w:rPr>
        <w:t>%，其他城区不大于</w:t>
      </w:r>
      <w:r>
        <w:rPr>
          <w:sz w:val="24"/>
          <w:szCs w:val="24"/>
        </w:rPr>
        <w:t>60</w:t>
      </w:r>
      <w:r>
        <w:rPr>
          <w:rFonts w:hint="eastAsia"/>
          <w:sz w:val="24"/>
          <w:szCs w:val="24"/>
        </w:rPr>
        <w:t>%。</w:t>
      </w:r>
    </w:p>
    <w:p>
      <w:pPr>
        <w:pStyle w:val="22"/>
        <w:numPr>
          <w:ilvl w:val="2"/>
          <w:numId w:val="1"/>
        </w:numPr>
        <w:ind w:left="0" w:firstLine="560"/>
      </w:pPr>
      <w:r>
        <w:rPr>
          <w:rFonts w:hint="eastAsia"/>
        </w:rPr>
        <w:t>商业服务业用地兼容住宅，或满足2.4.4条款居住用地兼容片区商业服务业项目的，地块综合容积率R按以下计算式确定：</w:t>
      </w:r>
    </w:p>
    <w:p>
      <w:r>
        <w:rPr>
          <w:rFonts w:hint="eastAsia"/>
        </w:rPr>
        <w:t xml:space="preserve">             R</w:t>
      </w:r>
      <w:r>
        <w:t>=1/[B/R</w:t>
      </w:r>
      <w:r>
        <w:rPr>
          <w:vertAlign w:val="subscript"/>
        </w:rPr>
        <w:t>1</w:t>
      </w:r>
      <w:r>
        <w:t>+(1-B)/R</w:t>
      </w:r>
      <w:r>
        <w:rPr>
          <w:vertAlign w:val="subscript"/>
        </w:rPr>
        <w:t>2</w:t>
      </w:r>
      <w:r>
        <w:t>]</w:t>
      </w:r>
    </w:p>
    <w:p>
      <w:pPr>
        <w:pStyle w:val="22"/>
        <w:ind w:firstLine="560"/>
      </w:pPr>
      <w:r>
        <w:rPr>
          <w:rFonts w:hint="eastAsia"/>
        </w:rPr>
        <w:t>式中R</w:t>
      </w:r>
      <w:r>
        <w:rPr>
          <w:rFonts w:hint="eastAsia"/>
          <w:vertAlign w:val="subscript"/>
        </w:rPr>
        <w:t>1</w:t>
      </w:r>
      <w:r>
        <w:rPr>
          <w:rFonts w:hint="eastAsia"/>
        </w:rPr>
        <w:t>和R</w:t>
      </w:r>
      <w:r>
        <w:rPr>
          <w:rFonts w:hint="eastAsia"/>
          <w:vertAlign w:val="subscript"/>
        </w:rPr>
        <w:t>2</w:t>
      </w:r>
      <w:r>
        <w:rPr>
          <w:rFonts w:hint="eastAsia"/>
        </w:rPr>
        <w:t>分别为住宅或商业服务业建筑容积率，B为住宅或商业服务业计容建筑面积所占比例。</w:t>
      </w:r>
    </w:p>
    <w:p>
      <w:pPr>
        <w:pStyle w:val="22"/>
        <w:numPr>
          <w:ilvl w:val="2"/>
          <w:numId w:val="1"/>
        </w:numPr>
        <w:ind w:left="0" w:firstLine="560"/>
      </w:pPr>
      <w:r>
        <w:rPr>
          <w:rFonts w:hint="eastAsia"/>
        </w:rPr>
        <w:t>鼓励规划建设商业居住等多功能混合社区。控制性详细规划编制时，在轨道交通点周边300米半径范围内的商业居住多功能混合用地，容积率可分别按表2.4.1和表2.5.1上浮30～10%（随轨道交通站点距离增加而递减）。</w:t>
      </w:r>
    </w:p>
    <w:p>
      <w:pPr>
        <w:pStyle w:val="22"/>
        <w:numPr>
          <w:ilvl w:val="2"/>
          <w:numId w:val="1"/>
        </w:numPr>
        <w:ind w:left="0" w:firstLine="560"/>
      </w:pPr>
      <w:r>
        <w:rPr>
          <w:rFonts w:hint="eastAsia"/>
        </w:rPr>
        <w:t>商业服务业项目计容建筑面积2万平方米以上的，应对项目周边城乡路网围合片区及影响区域进行交通影响分析，交通影响分析结论中应对项目的交通组织及停车位配置作出明确规定，当拟建项目不能满足交通组织或停车位配置要求时，则相应减少项目开发强度。</w:t>
      </w:r>
    </w:p>
    <w:p>
      <w:pPr>
        <w:pStyle w:val="22"/>
        <w:numPr>
          <w:ilvl w:val="2"/>
          <w:numId w:val="1"/>
        </w:numPr>
        <w:ind w:left="0" w:firstLine="560"/>
      </w:pPr>
      <w:r>
        <w:rPr>
          <w:rFonts w:hint="eastAsia"/>
        </w:rPr>
        <w:t>临城市或镇区道路的建筑宜在沿街面设置骑楼，骑楼首层架空廊道作为城乡公共开放空间。架空廊道进深</w:t>
      </w:r>
      <w:r>
        <w:t>3</w:t>
      </w:r>
      <w:r>
        <w:rPr>
          <w:rFonts w:hint="eastAsia"/>
        </w:rPr>
        <w:t>～5米，进深净宽和梁底净高均不小于3.6米，并满足行人通行安全和舒适要求（人行空间不得设置空调外机，合理设置照明）。满足以上条件的骑楼架空廊道面积不纳入建筑面积和建筑密度计算。</w:t>
      </w:r>
    </w:p>
    <w:p>
      <w:pPr>
        <w:pStyle w:val="22"/>
        <w:ind w:firstLine="560"/>
      </w:pPr>
      <w:r>
        <w:rPr>
          <w:rFonts w:hint="eastAsia"/>
        </w:rPr>
        <w:t>相邻公共建筑二层以上相连或跨越街区，仅用于公共交通联系功能的空中走廊（净空高度大于5米），可参照前款不纳入建筑面积和建筑密度计算。</w:t>
      </w:r>
    </w:p>
    <w:p>
      <w:pPr>
        <w:pStyle w:val="3"/>
        <w:numPr>
          <w:ilvl w:val="1"/>
          <w:numId w:val="1"/>
        </w:numPr>
        <w:ind w:left="941" w:hanging="940" w:hangingChars="294"/>
        <w:rPr>
          <w:lang w:eastAsia="zh-CN"/>
        </w:rPr>
      </w:pPr>
      <w:bookmarkStart w:id="7" w:name="_Toc523230031"/>
      <w:r>
        <w:rPr>
          <w:rFonts w:hint="eastAsia"/>
          <w:lang w:eastAsia="zh-CN"/>
        </w:rPr>
        <w:t>保障性住房项目开发强度</w:t>
      </w:r>
      <w:bookmarkEnd w:id="7"/>
    </w:p>
    <w:p>
      <w:pPr>
        <w:pStyle w:val="22"/>
        <w:numPr>
          <w:ilvl w:val="2"/>
          <w:numId w:val="1"/>
        </w:numPr>
        <w:ind w:left="0" w:firstLine="560"/>
      </w:pPr>
      <w:r>
        <w:rPr>
          <w:rFonts w:hint="eastAsia"/>
        </w:rPr>
        <w:t>组团级以上成规模建设，且建筑高度24米以上的保障性住房项目，可按表2</w:t>
      </w:r>
      <w:r>
        <w:t>.4.1</w:t>
      </w:r>
      <w:r>
        <w:rPr>
          <w:rFonts w:hint="eastAsia"/>
        </w:rPr>
        <w:t>相应用地规模的容积率指标上浮25%进行控制。</w:t>
      </w:r>
    </w:p>
    <w:p>
      <w:pPr>
        <w:pStyle w:val="22"/>
        <w:numPr>
          <w:ilvl w:val="2"/>
          <w:numId w:val="1"/>
        </w:numPr>
        <w:ind w:left="0" w:firstLine="560"/>
      </w:pPr>
      <w:r>
        <w:rPr>
          <w:rFonts w:hint="eastAsia"/>
        </w:rPr>
        <w:t>当保障性住房项目用地难以达到组团级以上用地规模，且满足表2</w:t>
      </w:r>
      <w:r>
        <w:t>.3.</w:t>
      </w:r>
      <w:r>
        <w:rPr>
          <w:rFonts w:hint="eastAsia"/>
        </w:rPr>
        <w:t>5零散用地最小地块面积的，单栋建筑在满足建筑退让的条件下，容积率可按表2</w:t>
      </w:r>
      <w:r>
        <w:t>.4.1</w:t>
      </w:r>
      <w:r>
        <w:rPr>
          <w:rFonts w:hint="eastAsia"/>
        </w:rPr>
        <w:t>组团级规模指标上浮50%进行控制。</w:t>
      </w:r>
    </w:p>
    <w:p>
      <w:pPr>
        <w:pStyle w:val="3"/>
        <w:numPr>
          <w:ilvl w:val="1"/>
          <w:numId w:val="1"/>
        </w:numPr>
        <w:ind w:left="941" w:hanging="940" w:hangingChars="294"/>
        <w:rPr>
          <w:lang w:eastAsia="zh-CN"/>
        </w:rPr>
      </w:pPr>
      <w:bookmarkStart w:id="8" w:name="_Toc523230032"/>
      <w:r>
        <w:rPr>
          <w:rFonts w:hint="eastAsia"/>
          <w:lang w:eastAsia="zh-CN"/>
        </w:rPr>
        <w:t>超高层建筑设置条件及容积率计算</w:t>
      </w:r>
      <w:bookmarkEnd w:id="8"/>
    </w:p>
    <w:p>
      <w:pPr>
        <w:pStyle w:val="22"/>
        <w:numPr>
          <w:ilvl w:val="2"/>
          <w:numId w:val="1"/>
        </w:numPr>
        <w:ind w:left="0" w:firstLine="560"/>
      </w:pPr>
      <w:r>
        <w:rPr>
          <w:rFonts w:hint="eastAsia"/>
        </w:rPr>
        <w:t>建筑高度100米以上的超高层建筑设置应符合城乡规划要求，较大体量的超高层建筑应结合用地周边城乡空间容量及对城市道路交通影响情况综合确定。</w:t>
      </w:r>
    </w:p>
    <w:p>
      <w:pPr>
        <w:pStyle w:val="22"/>
        <w:numPr>
          <w:ilvl w:val="2"/>
          <w:numId w:val="1"/>
        </w:numPr>
        <w:ind w:left="0" w:firstLine="560"/>
      </w:pPr>
      <w:r>
        <w:rPr>
          <w:rFonts w:hint="eastAsia"/>
        </w:rPr>
        <w:t>符合超高层建筑设置条件的商业服务业超高层建筑，容积率按建筑高度分段计算：</w:t>
      </w:r>
    </w:p>
    <w:p>
      <w:pPr>
        <w:pStyle w:val="22"/>
        <w:ind w:firstLine="560"/>
      </w:pPr>
      <w:r>
        <w:rPr>
          <w:rFonts w:hint="eastAsia"/>
        </w:rPr>
        <w:t>建筑高度小于100米部分的建筑面积按现行规定计算容积率；建筑楼层地板面高度在100～150米部分的建筑面积按50%计入容积率；建筑楼层地板面高度大于150米部分的建筑面积不计入容积率，且建筑高度100米以上不计容建筑面积不得大于该建筑计容建筑面积的30%。</w:t>
      </w:r>
    </w:p>
    <w:p>
      <w:pPr>
        <w:pStyle w:val="3"/>
        <w:numPr>
          <w:ilvl w:val="1"/>
          <w:numId w:val="1"/>
        </w:numPr>
        <w:ind w:left="941" w:hanging="940" w:hangingChars="294"/>
        <w:rPr>
          <w:lang w:eastAsia="zh-CN"/>
        </w:rPr>
      </w:pPr>
      <w:bookmarkStart w:id="9" w:name="_Toc523230033"/>
      <w:r>
        <w:rPr>
          <w:rFonts w:hint="eastAsia"/>
          <w:lang w:eastAsia="zh-CN"/>
        </w:rPr>
        <w:t>工业用地及开发强度</w:t>
      </w:r>
      <w:bookmarkEnd w:id="9"/>
    </w:p>
    <w:p>
      <w:pPr>
        <w:pStyle w:val="22"/>
        <w:numPr>
          <w:ilvl w:val="2"/>
          <w:numId w:val="1"/>
        </w:numPr>
        <w:ind w:left="0" w:firstLine="560"/>
      </w:pPr>
      <w:r>
        <w:rPr>
          <w:rFonts w:hint="eastAsia"/>
        </w:rPr>
        <w:t>工业用地应集中布局，组成相对独立的工业区和工业组团。有气体污染物排放的工业不应布置在城乡上风向，有水污染物排放的工业不应布置在城乡水源（径流）上游地区。</w:t>
      </w:r>
    </w:p>
    <w:p>
      <w:pPr>
        <w:pStyle w:val="22"/>
        <w:numPr>
          <w:ilvl w:val="2"/>
          <w:numId w:val="1"/>
        </w:numPr>
        <w:ind w:left="0" w:firstLine="560"/>
      </w:pPr>
      <w:r>
        <w:rPr>
          <w:rFonts w:hint="eastAsia"/>
        </w:rPr>
        <w:t>二、三类工业用地应单独布置，不应与居住、公共设施及其它功能区混合布局，并与其它非工业用地之间保持一定的卫生防护距离，防护距离应符合相关规定。</w:t>
      </w:r>
    </w:p>
    <w:p>
      <w:pPr>
        <w:pStyle w:val="22"/>
        <w:numPr>
          <w:ilvl w:val="2"/>
          <w:numId w:val="1"/>
        </w:numPr>
        <w:ind w:left="0" w:firstLine="560"/>
      </w:pPr>
      <w:r>
        <w:rPr>
          <w:rFonts w:hint="eastAsia"/>
        </w:rPr>
        <w:t>工业项目用地配套行政办公及生活服务设施（包括办公楼、值班宿舍、职工食堂等）用地面积（包括其指标计算范围用地，下同）不得超过工业项目总用地面积的7％。工业项目用地不得建造成套住宅、专家楼、宾馆、招待所和培训中心等非生产性配套设施。</w:t>
      </w:r>
    </w:p>
    <w:p>
      <w:pPr>
        <w:pStyle w:val="22"/>
        <w:numPr>
          <w:ilvl w:val="2"/>
          <w:numId w:val="1"/>
        </w:numPr>
        <w:ind w:left="0" w:firstLine="560"/>
      </w:pPr>
      <w:r>
        <w:rPr>
          <w:rFonts w:hint="eastAsia"/>
        </w:rPr>
        <w:t>工业项目配套的行政办公及生活服务设施不应设置在生产区范围内，应设在相对集中独立的区域。行政办公及生活服务区域周边的绿化、道路、广场等，属于行政办公及生活服务设施用地。</w:t>
      </w:r>
    </w:p>
    <w:p>
      <w:pPr>
        <w:pStyle w:val="22"/>
        <w:numPr>
          <w:ilvl w:val="2"/>
          <w:numId w:val="1"/>
        </w:numPr>
        <w:ind w:left="560" w:firstLine="0" w:firstLineChars="0"/>
      </w:pPr>
      <w:r>
        <w:rPr>
          <w:rFonts w:hint="eastAsia"/>
        </w:rPr>
        <w:t>工业项目用地容积率和建筑系数应符合表2</w:t>
      </w:r>
      <w:r>
        <w:t>.8.5</w:t>
      </w:r>
      <w:r>
        <w:rPr>
          <w:rFonts w:hint="eastAsia"/>
        </w:rPr>
        <w:t>的规定。</w:t>
      </w:r>
    </w:p>
    <w:p>
      <w:pPr>
        <w:pStyle w:val="6"/>
        <w:keepNext/>
        <w:rPr>
          <w:sz w:val="24"/>
          <w:szCs w:val="24"/>
        </w:rPr>
      </w:pPr>
      <w:r>
        <w:rPr>
          <w:rFonts w:hint="eastAsia"/>
          <w:sz w:val="24"/>
          <w:szCs w:val="24"/>
        </w:rPr>
        <w:t>表2.8.5</w:t>
      </w:r>
      <w:r>
        <w:rPr>
          <w:sz w:val="24"/>
          <w:szCs w:val="24"/>
        </w:rPr>
        <w:t xml:space="preserve"> </w:t>
      </w:r>
      <w:r>
        <w:rPr>
          <w:rFonts w:hint="eastAsia"/>
          <w:sz w:val="24"/>
          <w:szCs w:val="24"/>
        </w:rPr>
        <w:t>工业用地容积率和建筑系数控制指标</w:t>
      </w:r>
    </w:p>
    <w:tbl>
      <w:tblPr>
        <w:tblStyle w:val="1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114" w:type="dxa"/>
            <w:vAlign w:val="center"/>
          </w:tcPr>
          <w:p>
            <w:pPr>
              <w:spacing w:line="260" w:lineRule="exact"/>
              <w:jc w:val="center"/>
              <w:rPr>
                <w:rFonts w:hAnsi="宋体"/>
                <w:b/>
                <w:sz w:val="21"/>
                <w:szCs w:val="21"/>
              </w:rPr>
            </w:pPr>
            <w:r>
              <w:rPr>
                <w:rFonts w:hint="eastAsia" w:hAnsi="宋体"/>
                <w:b/>
                <w:sz w:val="21"/>
                <w:szCs w:val="21"/>
              </w:rPr>
              <w:t>用地分类</w:t>
            </w:r>
          </w:p>
        </w:tc>
        <w:tc>
          <w:tcPr>
            <w:tcW w:w="3115" w:type="dxa"/>
            <w:vAlign w:val="center"/>
          </w:tcPr>
          <w:p>
            <w:pPr>
              <w:spacing w:line="260" w:lineRule="exact"/>
              <w:jc w:val="center"/>
              <w:rPr>
                <w:rFonts w:hAnsi="宋体"/>
                <w:b/>
                <w:sz w:val="21"/>
                <w:szCs w:val="21"/>
              </w:rPr>
            </w:pPr>
            <w:r>
              <w:rPr>
                <w:rFonts w:hint="eastAsia" w:hAnsi="宋体"/>
                <w:b/>
                <w:sz w:val="21"/>
                <w:szCs w:val="21"/>
              </w:rPr>
              <w:t>容积率</w:t>
            </w:r>
          </w:p>
        </w:tc>
        <w:tc>
          <w:tcPr>
            <w:tcW w:w="3115" w:type="dxa"/>
            <w:vAlign w:val="center"/>
          </w:tcPr>
          <w:p>
            <w:pPr>
              <w:spacing w:line="260" w:lineRule="exact"/>
              <w:jc w:val="center"/>
              <w:rPr>
                <w:rFonts w:hAnsi="宋体"/>
                <w:b/>
                <w:sz w:val="21"/>
                <w:szCs w:val="21"/>
              </w:rPr>
            </w:pPr>
            <w:r>
              <w:rPr>
                <w:rFonts w:hint="eastAsia" w:hAnsi="宋体"/>
                <w:b/>
                <w:sz w:val="21"/>
                <w:szCs w:val="21"/>
              </w:rPr>
              <w:t xml:space="preserve">   建筑系数（%）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114" w:type="dxa"/>
            <w:vAlign w:val="center"/>
          </w:tcPr>
          <w:p>
            <w:pPr>
              <w:spacing w:line="260" w:lineRule="exact"/>
              <w:jc w:val="center"/>
              <w:rPr>
                <w:rFonts w:hAnsi="宋体"/>
                <w:sz w:val="21"/>
                <w:szCs w:val="21"/>
              </w:rPr>
            </w:pPr>
            <w:r>
              <w:rPr>
                <w:rFonts w:hint="eastAsia" w:hAnsi="宋体"/>
                <w:sz w:val="21"/>
                <w:szCs w:val="21"/>
              </w:rPr>
              <w:t>一类工业</w:t>
            </w:r>
          </w:p>
        </w:tc>
        <w:tc>
          <w:tcPr>
            <w:tcW w:w="3115" w:type="dxa"/>
            <w:vAlign w:val="center"/>
          </w:tcPr>
          <w:p>
            <w:pPr>
              <w:spacing w:line="260" w:lineRule="exact"/>
              <w:jc w:val="center"/>
              <w:rPr>
                <w:rFonts w:hAnsi="宋体"/>
                <w:sz w:val="21"/>
                <w:szCs w:val="21"/>
              </w:rPr>
            </w:pPr>
            <w:r>
              <w:rPr>
                <w:rFonts w:hint="eastAsia" w:hAnsi="宋体"/>
                <w:sz w:val="21"/>
                <w:szCs w:val="21"/>
              </w:rPr>
              <w:t>≥1.0至≤2.5</w:t>
            </w:r>
          </w:p>
        </w:tc>
        <w:tc>
          <w:tcPr>
            <w:tcW w:w="3115" w:type="dxa"/>
            <w:vAlign w:val="center"/>
          </w:tcPr>
          <w:p>
            <w:pPr>
              <w:spacing w:line="260" w:lineRule="exact"/>
              <w:jc w:val="center"/>
              <w:rPr>
                <w:rFonts w:hAnsi="宋体"/>
                <w:sz w:val="21"/>
                <w:szCs w:val="21"/>
              </w:rPr>
            </w:pPr>
            <w:r>
              <w:rPr>
                <w:rFonts w:hint="eastAsia" w:hAnsi="宋体"/>
                <w:sz w:val="21"/>
                <w:szCs w:val="21"/>
              </w:rPr>
              <w:t>30～5</w:t>
            </w:r>
            <w:r>
              <w:rPr>
                <w:rFonts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114" w:type="dxa"/>
            <w:vAlign w:val="center"/>
          </w:tcPr>
          <w:p>
            <w:pPr>
              <w:spacing w:line="260" w:lineRule="exact"/>
              <w:jc w:val="center"/>
              <w:rPr>
                <w:rFonts w:hAnsi="宋体"/>
                <w:sz w:val="21"/>
                <w:szCs w:val="21"/>
              </w:rPr>
            </w:pPr>
            <w:r>
              <w:rPr>
                <w:rFonts w:hint="eastAsia" w:hAnsi="宋体"/>
                <w:sz w:val="21"/>
                <w:szCs w:val="21"/>
              </w:rPr>
              <w:t>二类工业</w:t>
            </w:r>
          </w:p>
        </w:tc>
        <w:tc>
          <w:tcPr>
            <w:tcW w:w="3115" w:type="dxa"/>
            <w:vAlign w:val="center"/>
          </w:tcPr>
          <w:p>
            <w:pPr>
              <w:spacing w:line="260" w:lineRule="exact"/>
              <w:jc w:val="center"/>
              <w:rPr>
                <w:rFonts w:hAnsi="宋体"/>
                <w:sz w:val="21"/>
                <w:szCs w:val="21"/>
              </w:rPr>
            </w:pPr>
            <w:r>
              <w:rPr>
                <w:rFonts w:hint="eastAsia" w:hAnsi="宋体"/>
                <w:sz w:val="21"/>
                <w:szCs w:val="21"/>
              </w:rPr>
              <w:t>≥0.8至≤2.0</w:t>
            </w:r>
          </w:p>
        </w:tc>
        <w:tc>
          <w:tcPr>
            <w:tcW w:w="3115" w:type="dxa"/>
            <w:vAlign w:val="center"/>
          </w:tcPr>
          <w:p>
            <w:pPr>
              <w:spacing w:line="260" w:lineRule="exact"/>
              <w:jc w:val="center"/>
              <w:rPr>
                <w:rFonts w:hAnsi="宋体"/>
                <w:sz w:val="21"/>
                <w:szCs w:val="21"/>
              </w:rPr>
            </w:pPr>
            <w:r>
              <w:rPr>
                <w:rFonts w:hint="eastAsia" w:hAnsi="宋体"/>
                <w:sz w:val="21"/>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114" w:type="dxa"/>
            <w:vAlign w:val="center"/>
          </w:tcPr>
          <w:p>
            <w:pPr>
              <w:spacing w:line="400" w:lineRule="exact"/>
              <w:jc w:val="center"/>
              <w:rPr>
                <w:sz w:val="24"/>
                <w:szCs w:val="24"/>
              </w:rPr>
            </w:pPr>
            <w:r>
              <w:rPr>
                <w:rFonts w:hint="eastAsia"/>
                <w:sz w:val="24"/>
                <w:szCs w:val="24"/>
              </w:rPr>
              <w:t>三类工业</w:t>
            </w:r>
          </w:p>
        </w:tc>
        <w:tc>
          <w:tcPr>
            <w:tcW w:w="3115" w:type="dxa"/>
            <w:vAlign w:val="center"/>
          </w:tcPr>
          <w:p>
            <w:pPr>
              <w:spacing w:line="400" w:lineRule="exact"/>
              <w:jc w:val="center"/>
              <w:rPr>
                <w:sz w:val="24"/>
                <w:szCs w:val="24"/>
              </w:rPr>
            </w:pPr>
            <w:r>
              <w:rPr>
                <w:rFonts w:hint="eastAsia"/>
                <w:sz w:val="24"/>
                <w:szCs w:val="24"/>
              </w:rPr>
              <w:t>≥0.6至≤1.8</w:t>
            </w:r>
          </w:p>
        </w:tc>
        <w:tc>
          <w:tcPr>
            <w:tcW w:w="3115" w:type="dxa"/>
            <w:vAlign w:val="center"/>
          </w:tcPr>
          <w:p>
            <w:pPr>
              <w:spacing w:line="400" w:lineRule="exact"/>
              <w:jc w:val="center"/>
              <w:rPr>
                <w:sz w:val="24"/>
                <w:szCs w:val="24"/>
              </w:rPr>
            </w:pPr>
            <w:r>
              <w:rPr>
                <w:rFonts w:hint="eastAsia"/>
                <w:sz w:val="24"/>
                <w:szCs w:val="24"/>
              </w:rPr>
              <w:t>30～45</w:t>
            </w:r>
          </w:p>
        </w:tc>
      </w:tr>
    </w:tbl>
    <w:p>
      <w:pPr>
        <w:spacing w:line="400" w:lineRule="exact"/>
        <w:ind w:left="840" w:hanging="840" w:hangingChars="350"/>
        <w:rPr>
          <w:sz w:val="24"/>
          <w:szCs w:val="24"/>
        </w:rPr>
      </w:pPr>
      <w:r>
        <w:rPr>
          <w:rFonts w:hint="eastAsia"/>
          <w:sz w:val="24"/>
          <w:szCs w:val="24"/>
        </w:rPr>
        <w:t>注：1、建筑系数指项目用地范围内各种建、构筑物占地面积总和与总用地面积的比例；</w:t>
      </w:r>
    </w:p>
    <w:p>
      <w:pPr>
        <w:pStyle w:val="22"/>
        <w:numPr>
          <w:ilvl w:val="2"/>
          <w:numId w:val="1"/>
        </w:numPr>
        <w:spacing w:before="269" w:beforeLines="50"/>
        <w:ind w:left="0" w:firstLine="560"/>
      </w:pPr>
      <w:r>
        <w:rPr>
          <w:rFonts w:hint="eastAsia"/>
        </w:rPr>
        <w:t>工业项目行政办公及生活服务设施的建筑面积不得超过工业项目总建筑面积14%。当工业项目行政办公及生活服务设施用地面积超过工业项目总用地面积7%，或其建筑面积超过工业项目总建筑面积14%的部分，不能视为工业用途。</w:t>
      </w:r>
    </w:p>
    <w:p>
      <w:pPr>
        <w:ind w:firstLine="560" w:firstLineChars="200"/>
      </w:pPr>
      <w:r>
        <w:rPr>
          <w:rFonts w:hint="eastAsia"/>
        </w:rPr>
        <w:t>经批准工业企业利用自有存量土地建设保障性住房的，保障性住房用地不应超过工业企业总用地面积的8%。成片布置的职工住宅用地应计入居住用地，并应满足居住用地配套要求。</w:t>
      </w:r>
    </w:p>
    <w:p>
      <w:pPr>
        <w:ind w:firstLine="560" w:firstLineChars="200"/>
      </w:pPr>
      <w:r>
        <w:rPr>
          <w:rFonts w:hint="eastAsia"/>
        </w:rPr>
        <w:t>三类工业用地及其相邻地区严禁布置职工宿舍等居住用地。</w:t>
      </w:r>
    </w:p>
    <w:p>
      <w:pPr>
        <w:pStyle w:val="3"/>
        <w:numPr>
          <w:ilvl w:val="1"/>
          <w:numId w:val="1"/>
        </w:numPr>
        <w:ind w:left="941" w:hanging="940" w:hangingChars="294"/>
        <w:rPr>
          <w:lang w:eastAsia="zh-CN"/>
        </w:rPr>
      </w:pPr>
      <w:bookmarkStart w:id="10" w:name="_Toc523230034"/>
      <w:r>
        <w:rPr>
          <w:rFonts w:hint="eastAsia"/>
          <w:lang w:eastAsia="zh-CN"/>
        </w:rPr>
        <w:t>物流仓储用地及开发强度</w:t>
      </w:r>
      <w:bookmarkEnd w:id="10"/>
    </w:p>
    <w:p>
      <w:pPr>
        <w:pStyle w:val="22"/>
        <w:numPr>
          <w:ilvl w:val="2"/>
          <w:numId w:val="1"/>
        </w:numPr>
        <w:ind w:left="0" w:firstLine="560"/>
      </w:pPr>
      <w:r>
        <w:rPr>
          <w:rFonts w:hint="eastAsia"/>
        </w:rPr>
        <w:t>物流仓储用地应有良好的交通条件，能方便快速地进入区域或城乡交通运输系统，如铁路、公路、机场、港口和城乡主干路。</w:t>
      </w:r>
    </w:p>
    <w:p>
      <w:pPr>
        <w:pStyle w:val="22"/>
        <w:numPr>
          <w:ilvl w:val="2"/>
          <w:numId w:val="1"/>
        </w:numPr>
        <w:ind w:left="0" w:firstLine="560"/>
      </w:pPr>
      <w:r>
        <w:rPr>
          <w:rFonts w:hint="eastAsia"/>
        </w:rPr>
        <w:t>三类物流仓储选址应远离城乡居住区和村庄，并符合环境保护、防火、防爆、防灾的要求。不同类型危险品仓库应相互分隔，不得混合存储，其相隔距离须符合相关规范及消防规定。</w:t>
      </w:r>
    </w:p>
    <w:p>
      <w:pPr>
        <w:pStyle w:val="22"/>
        <w:numPr>
          <w:ilvl w:val="2"/>
          <w:numId w:val="1"/>
        </w:numPr>
        <w:ind w:left="0" w:firstLine="560"/>
      </w:pPr>
      <w:r>
        <w:rPr>
          <w:rFonts w:hint="eastAsia"/>
        </w:rPr>
        <w:t>物流仓储宜统一规划设置物流仓储园区，集约化使用土地。物流仓储项目用地范围内，非直接用于存储、装卸、包装等物流作业的配套设施（包括行政办公、展示厅、交易场所、值班宿舍、食堂等）建筑面积占项目用地总建筑面积的比例不得大于14%。</w:t>
      </w:r>
    </w:p>
    <w:p>
      <w:pPr>
        <w:pStyle w:val="22"/>
        <w:numPr>
          <w:ilvl w:val="2"/>
          <w:numId w:val="1"/>
        </w:numPr>
        <w:ind w:left="0" w:firstLine="560"/>
      </w:pPr>
      <w:r>
        <w:rPr>
          <w:rFonts w:hint="eastAsia"/>
        </w:rPr>
        <w:t>物流仓储用地容积率及建筑系数应符合表2</w:t>
      </w:r>
      <w:r>
        <w:t>.9.4</w:t>
      </w:r>
      <w:r>
        <w:rPr>
          <w:rFonts w:hint="eastAsia"/>
        </w:rPr>
        <w:t>的规定。</w:t>
      </w:r>
    </w:p>
    <w:p>
      <w:pPr>
        <w:pStyle w:val="6"/>
        <w:keepNext/>
        <w:rPr>
          <w:sz w:val="24"/>
          <w:szCs w:val="24"/>
        </w:rPr>
      </w:pPr>
      <w:r>
        <w:rPr>
          <w:rFonts w:hint="eastAsia"/>
          <w:sz w:val="24"/>
          <w:szCs w:val="24"/>
        </w:rPr>
        <w:t>表2</w:t>
      </w:r>
      <w:r>
        <w:rPr>
          <w:sz w:val="24"/>
          <w:szCs w:val="24"/>
        </w:rPr>
        <w:t xml:space="preserve">.9.4 </w:t>
      </w:r>
      <w:r>
        <w:rPr>
          <w:rFonts w:hint="eastAsia"/>
          <w:sz w:val="24"/>
          <w:szCs w:val="24"/>
        </w:rPr>
        <w:t>物流仓储用地容积率、建筑系数控制指标</w:t>
      </w:r>
    </w:p>
    <w:tbl>
      <w:tblPr>
        <w:tblStyle w:val="1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114" w:type="dxa"/>
            <w:vAlign w:val="center"/>
          </w:tcPr>
          <w:p>
            <w:pPr>
              <w:spacing w:line="260" w:lineRule="exact"/>
              <w:jc w:val="center"/>
              <w:rPr>
                <w:rFonts w:ascii="黑体" w:eastAsia="黑体"/>
                <w:b/>
                <w:sz w:val="21"/>
                <w:szCs w:val="21"/>
              </w:rPr>
            </w:pPr>
            <w:r>
              <w:rPr>
                <w:rFonts w:hint="eastAsia" w:ascii="黑体" w:eastAsia="黑体"/>
                <w:b/>
                <w:sz w:val="21"/>
                <w:szCs w:val="21"/>
              </w:rPr>
              <w:t>建筑层数</w:t>
            </w:r>
          </w:p>
        </w:tc>
        <w:tc>
          <w:tcPr>
            <w:tcW w:w="3115" w:type="dxa"/>
            <w:vAlign w:val="center"/>
          </w:tcPr>
          <w:p>
            <w:pPr>
              <w:spacing w:line="260" w:lineRule="exact"/>
              <w:jc w:val="center"/>
              <w:rPr>
                <w:rFonts w:ascii="黑体" w:eastAsia="黑体"/>
                <w:b/>
                <w:sz w:val="21"/>
                <w:szCs w:val="21"/>
              </w:rPr>
            </w:pPr>
            <w:r>
              <w:rPr>
                <w:rFonts w:hint="eastAsia" w:ascii="黑体" w:eastAsia="黑体"/>
                <w:b/>
                <w:sz w:val="21"/>
                <w:szCs w:val="21"/>
              </w:rPr>
              <w:t>容积率</w:t>
            </w:r>
          </w:p>
        </w:tc>
        <w:tc>
          <w:tcPr>
            <w:tcW w:w="3115" w:type="dxa"/>
            <w:vAlign w:val="center"/>
          </w:tcPr>
          <w:p>
            <w:pPr>
              <w:spacing w:line="260" w:lineRule="exact"/>
              <w:jc w:val="center"/>
              <w:rPr>
                <w:rFonts w:ascii="黑体" w:eastAsia="黑体"/>
                <w:b/>
                <w:sz w:val="21"/>
                <w:szCs w:val="21"/>
              </w:rPr>
            </w:pPr>
            <w:r>
              <w:rPr>
                <w:rFonts w:hint="eastAsia" w:ascii="黑体" w:eastAsia="黑体"/>
                <w:b/>
                <w:sz w:val="21"/>
                <w:szCs w:val="21"/>
              </w:rPr>
              <w:t xml:space="preserve"> 建筑系数(%)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114" w:type="dxa"/>
            <w:vAlign w:val="center"/>
          </w:tcPr>
          <w:p>
            <w:pPr>
              <w:spacing w:line="260" w:lineRule="exact"/>
              <w:jc w:val="center"/>
              <w:rPr>
                <w:rFonts w:hAnsi="宋体"/>
                <w:sz w:val="21"/>
                <w:szCs w:val="21"/>
              </w:rPr>
            </w:pPr>
            <w:r>
              <w:rPr>
                <w:rFonts w:hint="eastAsia" w:hAnsi="宋体"/>
                <w:sz w:val="21"/>
                <w:szCs w:val="21"/>
              </w:rPr>
              <w:t>一类物流仓储</w:t>
            </w:r>
          </w:p>
        </w:tc>
        <w:tc>
          <w:tcPr>
            <w:tcW w:w="3115" w:type="dxa"/>
            <w:vAlign w:val="center"/>
          </w:tcPr>
          <w:p>
            <w:pPr>
              <w:spacing w:line="260" w:lineRule="exact"/>
              <w:jc w:val="center"/>
              <w:rPr>
                <w:rFonts w:hAnsi="宋体"/>
                <w:sz w:val="21"/>
                <w:szCs w:val="21"/>
              </w:rPr>
            </w:pPr>
            <w:r>
              <w:rPr>
                <w:rFonts w:hint="eastAsia" w:hAnsi="宋体"/>
                <w:sz w:val="21"/>
                <w:szCs w:val="21"/>
              </w:rPr>
              <w:t>≥1.0至≤2.</w:t>
            </w:r>
            <w:r>
              <w:rPr>
                <w:rFonts w:hAnsi="宋体"/>
                <w:sz w:val="21"/>
                <w:szCs w:val="21"/>
              </w:rPr>
              <w:t>5</w:t>
            </w:r>
          </w:p>
        </w:tc>
        <w:tc>
          <w:tcPr>
            <w:tcW w:w="3115" w:type="dxa"/>
            <w:vAlign w:val="center"/>
          </w:tcPr>
          <w:p>
            <w:pPr>
              <w:spacing w:line="260" w:lineRule="exact"/>
              <w:jc w:val="center"/>
              <w:rPr>
                <w:rFonts w:hAnsi="宋体"/>
                <w:sz w:val="21"/>
                <w:szCs w:val="21"/>
              </w:rPr>
            </w:pPr>
            <w:r>
              <w:rPr>
                <w:rFonts w:hint="eastAsia" w:hAnsi="宋体"/>
                <w:sz w:val="21"/>
                <w:szCs w:val="21"/>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114" w:type="dxa"/>
            <w:vAlign w:val="center"/>
          </w:tcPr>
          <w:p>
            <w:pPr>
              <w:spacing w:line="260" w:lineRule="exact"/>
              <w:jc w:val="center"/>
              <w:rPr>
                <w:rFonts w:hAnsi="宋体"/>
                <w:sz w:val="21"/>
                <w:szCs w:val="21"/>
              </w:rPr>
            </w:pPr>
            <w:r>
              <w:rPr>
                <w:rFonts w:hint="eastAsia" w:hAnsi="宋体"/>
                <w:sz w:val="21"/>
                <w:szCs w:val="21"/>
              </w:rPr>
              <w:t>二类物流仓储</w:t>
            </w:r>
          </w:p>
        </w:tc>
        <w:tc>
          <w:tcPr>
            <w:tcW w:w="3115" w:type="dxa"/>
            <w:vAlign w:val="center"/>
          </w:tcPr>
          <w:p>
            <w:pPr>
              <w:spacing w:line="260" w:lineRule="exact"/>
              <w:jc w:val="center"/>
              <w:rPr>
                <w:rFonts w:hAnsi="宋体"/>
                <w:sz w:val="21"/>
                <w:szCs w:val="21"/>
              </w:rPr>
            </w:pPr>
            <w:r>
              <w:rPr>
                <w:rFonts w:hint="eastAsia" w:hAnsi="宋体"/>
                <w:sz w:val="21"/>
                <w:szCs w:val="21"/>
              </w:rPr>
              <w:t>≥0.8至≤</w:t>
            </w:r>
            <w:r>
              <w:rPr>
                <w:rFonts w:hAnsi="宋体"/>
                <w:sz w:val="21"/>
                <w:szCs w:val="21"/>
              </w:rPr>
              <w:t>2.0</w:t>
            </w:r>
          </w:p>
        </w:tc>
        <w:tc>
          <w:tcPr>
            <w:tcW w:w="3115" w:type="dxa"/>
            <w:vAlign w:val="center"/>
          </w:tcPr>
          <w:p>
            <w:pPr>
              <w:spacing w:line="260" w:lineRule="exact"/>
              <w:jc w:val="center"/>
              <w:rPr>
                <w:rFonts w:hAnsi="宋体"/>
                <w:sz w:val="21"/>
                <w:szCs w:val="21"/>
              </w:rPr>
            </w:pPr>
            <w:r>
              <w:rPr>
                <w:rFonts w:hint="eastAsia" w:hAnsi="宋体"/>
                <w:sz w:val="21"/>
                <w:szCs w:val="21"/>
              </w:rPr>
              <w:t>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114" w:type="dxa"/>
            <w:vAlign w:val="center"/>
          </w:tcPr>
          <w:p>
            <w:pPr>
              <w:spacing w:line="260" w:lineRule="exact"/>
              <w:jc w:val="center"/>
              <w:rPr>
                <w:rFonts w:hAnsi="宋体"/>
                <w:sz w:val="21"/>
                <w:szCs w:val="21"/>
              </w:rPr>
            </w:pPr>
            <w:r>
              <w:rPr>
                <w:rFonts w:hint="eastAsia" w:hAnsi="宋体"/>
                <w:sz w:val="21"/>
                <w:szCs w:val="21"/>
              </w:rPr>
              <w:t>三类物流仓储</w:t>
            </w:r>
          </w:p>
        </w:tc>
        <w:tc>
          <w:tcPr>
            <w:tcW w:w="3115" w:type="dxa"/>
            <w:vAlign w:val="center"/>
          </w:tcPr>
          <w:p>
            <w:pPr>
              <w:spacing w:line="260" w:lineRule="exact"/>
              <w:jc w:val="center"/>
              <w:rPr>
                <w:rFonts w:hAnsi="宋体"/>
                <w:sz w:val="21"/>
                <w:szCs w:val="21"/>
              </w:rPr>
            </w:pPr>
            <w:r>
              <w:rPr>
                <w:rFonts w:hint="eastAsia" w:hAnsi="宋体"/>
                <w:sz w:val="21"/>
                <w:szCs w:val="21"/>
              </w:rPr>
              <w:t>≥0.4至≤</w:t>
            </w:r>
            <w:r>
              <w:rPr>
                <w:rFonts w:hAnsi="宋体"/>
                <w:sz w:val="21"/>
                <w:szCs w:val="21"/>
              </w:rPr>
              <w:t>1.0</w:t>
            </w:r>
          </w:p>
        </w:tc>
        <w:tc>
          <w:tcPr>
            <w:tcW w:w="3115" w:type="dxa"/>
            <w:vAlign w:val="center"/>
          </w:tcPr>
          <w:p>
            <w:pPr>
              <w:spacing w:line="260" w:lineRule="exact"/>
              <w:jc w:val="center"/>
              <w:rPr>
                <w:rFonts w:hAnsi="宋体"/>
                <w:sz w:val="21"/>
                <w:szCs w:val="21"/>
              </w:rPr>
            </w:pPr>
            <w:r>
              <w:rPr>
                <w:rFonts w:hint="eastAsia" w:hAnsi="宋体"/>
                <w:sz w:val="21"/>
                <w:szCs w:val="21"/>
              </w:rPr>
              <w:t>40～60</w:t>
            </w:r>
          </w:p>
        </w:tc>
      </w:tr>
    </w:tbl>
    <w:p>
      <w:pPr>
        <w:spacing w:line="400" w:lineRule="exact"/>
        <w:ind w:left="840" w:hanging="840" w:hangingChars="350"/>
        <w:rPr>
          <w:sz w:val="24"/>
          <w:szCs w:val="24"/>
        </w:rPr>
      </w:pPr>
      <w:r>
        <w:rPr>
          <w:rFonts w:hint="eastAsia"/>
          <w:sz w:val="24"/>
          <w:szCs w:val="24"/>
        </w:rPr>
        <w:t>注：1、建筑系数指用地范围内各种建、构筑物占地面积总和与总用地面积的比例；</w:t>
      </w:r>
    </w:p>
    <w:p>
      <w:pPr>
        <w:spacing w:line="400" w:lineRule="exact"/>
        <w:ind w:left="840" w:hanging="840" w:hangingChars="350"/>
        <w:rPr>
          <w:sz w:val="24"/>
          <w:szCs w:val="24"/>
        </w:rPr>
      </w:pPr>
    </w:p>
    <w:p>
      <w:pPr>
        <w:pStyle w:val="3"/>
        <w:numPr>
          <w:ilvl w:val="1"/>
          <w:numId w:val="1"/>
        </w:numPr>
        <w:ind w:left="941" w:hanging="940" w:hangingChars="294"/>
        <w:rPr>
          <w:lang w:eastAsia="zh-CN"/>
        </w:rPr>
      </w:pPr>
      <w:bookmarkStart w:id="11" w:name="_Toc523230035"/>
      <w:r>
        <w:rPr>
          <w:rFonts w:hint="eastAsia"/>
          <w:lang w:eastAsia="zh-CN"/>
        </w:rPr>
        <w:t>公共管理与公共服务用地开发强度控制指标</w:t>
      </w:r>
      <w:bookmarkEnd w:id="11"/>
    </w:p>
    <w:p>
      <w:pPr>
        <w:pStyle w:val="22"/>
        <w:numPr>
          <w:ilvl w:val="2"/>
          <w:numId w:val="1"/>
        </w:numPr>
        <w:ind w:left="0" w:firstLine="560"/>
      </w:pPr>
      <w:r>
        <w:rPr>
          <w:rFonts w:hint="eastAsia"/>
        </w:rPr>
        <w:t>公共管理与公共服务用地包括行政管理、教育科研、文化、体育、卫生等机构和设施用地，不包括居住用地中的服务设施用地。</w:t>
      </w:r>
    </w:p>
    <w:p>
      <w:pPr>
        <w:ind w:firstLine="560" w:firstLineChars="200"/>
      </w:pPr>
      <w:r>
        <w:rPr>
          <w:rFonts w:hint="eastAsia"/>
        </w:rPr>
        <w:t>公共管理与公共服务用地开发强度控制指标见表2</w:t>
      </w:r>
      <w:r>
        <w:t>.10.1</w:t>
      </w:r>
      <w:r>
        <w:rPr>
          <w:rFonts w:hint="eastAsia"/>
        </w:rPr>
        <w:t>。</w:t>
      </w:r>
    </w:p>
    <w:p>
      <w:pPr>
        <w:ind w:firstLine="560" w:firstLineChars="200"/>
      </w:pPr>
    </w:p>
    <w:p>
      <w:pPr>
        <w:pStyle w:val="6"/>
        <w:keepNext/>
        <w:rPr>
          <w:sz w:val="24"/>
          <w:szCs w:val="24"/>
        </w:rPr>
      </w:pPr>
      <w:r>
        <w:rPr>
          <w:rFonts w:hint="eastAsia"/>
          <w:sz w:val="24"/>
          <w:szCs w:val="24"/>
        </w:rPr>
        <w:t>表2</w:t>
      </w:r>
      <w:r>
        <w:rPr>
          <w:sz w:val="24"/>
          <w:szCs w:val="24"/>
        </w:rPr>
        <w:t xml:space="preserve">.10.1 </w:t>
      </w:r>
      <w:r>
        <w:rPr>
          <w:rFonts w:hint="eastAsia"/>
          <w:sz w:val="24"/>
          <w:szCs w:val="24"/>
        </w:rPr>
        <w:t>公共管理与公共服务用地开发强度控制指标</w:t>
      </w:r>
    </w:p>
    <w:tbl>
      <w:tblPr>
        <w:tblStyle w:val="18"/>
        <w:tblW w:w="93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70"/>
        <w:gridCol w:w="1544"/>
        <w:gridCol w:w="1544"/>
        <w:gridCol w:w="1544"/>
        <w:gridCol w:w="15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0" w:hRule="exact"/>
          <w:jc w:val="center"/>
        </w:trPr>
        <w:tc>
          <w:tcPr>
            <w:tcW w:w="317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hAnsi="宋体"/>
                <w:b/>
                <w:kern w:val="0"/>
                <w:sz w:val="21"/>
                <w:szCs w:val="21"/>
              </w:rPr>
            </w:pPr>
            <w:r>
              <w:rPr>
                <w:rFonts w:hint="eastAsia" w:hAnsi="宋体"/>
                <w:b/>
                <w:kern w:val="0"/>
                <w:sz w:val="21"/>
                <w:szCs w:val="21"/>
              </w:rPr>
              <w:t>建 设项 目</w:t>
            </w:r>
          </w:p>
        </w:tc>
        <w:tc>
          <w:tcPr>
            <w:tcW w:w="3088" w:type="dxa"/>
            <w:gridSpan w:val="2"/>
            <w:tcBorders>
              <w:left w:val="single" w:color="auto" w:sz="4" w:space="0"/>
            </w:tcBorders>
            <w:vAlign w:val="center"/>
          </w:tcPr>
          <w:p>
            <w:pPr>
              <w:spacing w:line="260" w:lineRule="exact"/>
              <w:jc w:val="center"/>
              <w:rPr>
                <w:rFonts w:hAnsi="宋体"/>
                <w:b/>
                <w:sz w:val="21"/>
                <w:szCs w:val="21"/>
              </w:rPr>
            </w:pPr>
            <w:r>
              <w:rPr>
                <w:rFonts w:hint="eastAsia" w:hAnsi="宋体"/>
                <w:b/>
                <w:sz w:val="21"/>
                <w:szCs w:val="21"/>
              </w:rPr>
              <w:t>旧  城   区</w:t>
            </w:r>
          </w:p>
        </w:tc>
        <w:tc>
          <w:tcPr>
            <w:tcW w:w="3088" w:type="dxa"/>
            <w:gridSpan w:val="2"/>
            <w:vAlign w:val="center"/>
          </w:tcPr>
          <w:p>
            <w:pPr>
              <w:spacing w:line="260" w:lineRule="exact"/>
              <w:jc w:val="center"/>
              <w:rPr>
                <w:rFonts w:hAnsi="宋体"/>
                <w:b/>
                <w:sz w:val="21"/>
                <w:szCs w:val="21"/>
              </w:rPr>
            </w:pPr>
            <w:r>
              <w:rPr>
                <w:rFonts w:hint="eastAsia" w:hAnsi="宋体"/>
                <w:b/>
                <w:sz w:val="21"/>
                <w:szCs w:val="21"/>
              </w:rPr>
              <w:t>非 旧 城 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0" w:hRule="exact"/>
          <w:jc w:val="center"/>
        </w:trPr>
        <w:tc>
          <w:tcPr>
            <w:tcW w:w="3170" w:type="dxa"/>
            <w:vMerge w:val="continue"/>
            <w:tcBorders>
              <w:left w:val="single" w:color="auto" w:sz="4" w:space="0"/>
              <w:right w:val="single" w:color="auto" w:sz="4" w:space="0"/>
            </w:tcBorders>
            <w:vAlign w:val="center"/>
          </w:tcPr>
          <w:p>
            <w:pPr>
              <w:widowControl/>
              <w:spacing w:line="260" w:lineRule="exact"/>
              <w:ind w:left="900" w:hanging="900"/>
              <w:jc w:val="center"/>
              <w:rPr>
                <w:rFonts w:hAnsi="宋体"/>
                <w:b/>
                <w:kern w:val="0"/>
                <w:sz w:val="21"/>
                <w:szCs w:val="21"/>
              </w:rPr>
            </w:pPr>
          </w:p>
        </w:tc>
        <w:tc>
          <w:tcPr>
            <w:tcW w:w="1544" w:type="dxa"/>
            <w:tcBorders>
              <w:left w:val="single" w:color="auto" w:sz="4" w:space="0"/>
            </w:tcBorders>
            <w:vAlign w:val="center"/>
          </w:tcPr>
          <w:p>
            <w:pPr>
              <w:spacing w:line="260" w:lineRule="exact"/>
              <w:jc w:val="center"/>
              <w:rPr>
                <w:rFonts w:hAnsi="宋体"/>
                <w:b/>
                <w:sz w:val="21"/>
                <w:szCs w:val="21"/>
              </w:rPr>
            </w:pPr>
            <w:r>
              <w:rPr>
                <w:rFonts w:hint="eastAsia" w:hAnsi="宋体"/>
                <w:b/>
                <w:sz w:val="21"/>
                <w:szCs w:val="21"/>
              </w:rPr>
              <w:t>容积率</w:t>
            </w:r>
          </w:p>
        </w:tc>
        <w:tc>
          <w:tcPr>
            <w:tcW w:w="1544" w:type="dxa"/>
            <w:vAlign w:val="center"/>
          </w:tcPr>
          <w:p>
            <w:pPr>
              <w:spacing w:line="260" w:lineRule="exact"/>
              <w:jc w:val="center"/>
              <w:rPr>
                <w:rFonts w:hAnsi="宋体"/>
                <w:b/>
                <w:sz w:val="21"/>
                <w:szCs w:val="21"/>
              </w:rPr>
            </w:pPr>
            <w:r>
              <w:rPr>
                <w:rFonts w:hint="eastAsia" w:hAnsi="宋体"/>
                <w:b/>
                <w:sz w:val="21"/>
                <w:szCs w:val="21"/>
              </w:rPr>
              <w:t>建筑密度</w:t>
            </w:r>
          </w:p>
        </w:tc>
        <w:tc>
          <w:tcPr>
            <w:tcW w:w="1544" w:type="dxa"/>
            <w:vAlign w:val="center"/>
          </w:tcPr>
          <w:p>
            <w:pPr>
              <w:spacing w:line="260" w:lineRule="exact"/>
              <w:jc w:val="center"/>
              <w:rPr>
                <w:rFonts w:hAnsi="宋体"/>
                <w:b/>
                <w:sz w:val="21"/>
                <w:szCs w:val="21"/>
              </w:rPr>
            </w:pPr>
            <w:r>
              <w:rPr>
                <w:rFonts w:hint="eastAsia" w:hAnsi="宋体"/>
                <w:b/>
                <w:sz w:val="21"/>
                <w:szCs w:val="21"/>
              </w:rPr>
              <w:t>容积率</w:t>
            </w:r>
          </w:p>
        </w:tc>
        <w:tc>
          <w:tcPr>
            <w:tcW w:w="1544" w:type="dxa"/>
            <w:vAlign w:val="center"/>
          </w:tcPr>
          <w:p>
            <w:pPr>
              <w:spacing w:line="260" w:lineRule="exact"/>
              <w:jc w:val="center"/>
              <w:rPr>
                <w:rFonts w:hAnsi="宋体"/>
                <w:b/>
                <w:sz w:val="21"/>
                <w:szCs w:val="21"/>
              </w:rPr>
            </w:pPr>
            <w:r>
              <w:rPr>
                <w:rFonts w:hint="eastAsia" w:hAnsi="宋体"/>
                <w:b/>
                <w:sz w:val="21"/>
                <w:szCs w:val="21"/>
              </w:rPr>
              <w:t>建筑密度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3170" w:type="dxa"/>
            <w:tcBorders>
              <w:top w:val="single" w:color="auto" w:sz="4" w:space="0"/>
              <w:right w:val="single" w:color="auto" w:sz="4" w:space="0"/>
            </w:tcBorders>
            <w:vAlign w:val="center"/>
          </w:tcPr>
          <w:p>
            <w:pPr>
              <w:spacing w:line="260" w:lineRule="exact"/>
              <w:jc w:val="center"/>
              <w:rPr>
                <w:rFonts w:hAnsi="宋体"/>
                <w:b/>
                <w:sz w:val="21"/>
                <w:szCs w:val="21"/>
              </w:rPr>
            </w:pPr>
            <w:r>
              <w:rPr>
                <w:rFonts w:hint="eastAsia" w:hAnsi="宋体"/>
                <w:b/>
                <w:sz w:val="21"/>
                <w:szCs w:val="21"/>
              </w:rPr>
              <w:t xml:space="preserve">教 育 设 施  </w:t>
            </w:r>
          </w:p>
        </w:tc>
        <w:tc>
          <w:tcPr>
            <w:tcW w:w="1544" w:type="dxa"/>
            <w:tcBorders>
              <w:left w:val="single" w:color="auto" w:sz="4" w:space="0"/>
            </w:tcBorders>
            <w:vAlign w:val="center"/>
          </w:tcPr>
          <w:p>
            <w:pPr>
              <w:widowControl/>
              <w:spacing w:line="260" w:lineRule="exact"/>
              <w:jc w:val="center"/>
              <w:rPr>
                <w:rFonts w:hAnsi="宋体"/>
                <w:kern w:val="0"/>
                <w:sz w:val="21"/>
                <w:szCs w:val="21"/>
              </w:rPr>
            </w:pPr>
            <w:r>
              <w:rPr>
                <w:rFonts w:hint="eastAsia" w:hAnsi="宋体"/>
                <w:kern w:val="0"/>
                <w:sz w:val="21"/>
                <w:szCs w:val="21"/>
              </w:rPr>
              <w:t>1.6</w:t>
            </w:r>
          </w:p>
        </w:tc>
        <w:tc>
          <w:tcPr>
            <w:tcW w:w="1544" w:type="dxa"/>
            <w:vAlign w:val="center"/>
          </w:tcPr>
          <w:p>
            <w:pPr>
              <w:widowControl/>
              <w:spacing w:line="260" w:lineRule="exact"/>
              <w:ind w:firstLine="14" w:firstLineChars="7"/>
              <w:jc w:val="center"/>
              <w:rPr>
                <w:rFonts w:hAnsi="宋体"/>
                <w:kern w:val="0"/>
                <w:sz w:val="21"/>
                <w:szCs w:val="21"/>
              </w:rPr>
            </w:pPr>
            <w:r>
              <w:rPr>
                <w:rFonts w:hint="eastAsia" w:hAnsi="宋体"/>
                <w:kern w:val="0"/>
                <w:sz w:val="21"/>
                <w:szCs w:val="21"/>
              </w:rPr>
              <w:t>30%</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1.</w:t>
            </w:r>
            <w:r>
              <w:rPr>
                <w:rFonts w:hAnsi="宋体"/>
                <w:kern w:val="0"/>
                <w:sz w:val="21"/>
                <w:szCs w:val="21"/>
              </w:rPr>
              <w:t>5</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2</w:t>
            </w:r>
            <w:r>
              <w:rPr>
                <w:rFonts w:hAnsi="宋体"/>
                <w:kern w:val="0"/>
                <w:sz w:val="21"/>
                <w:szCs w:val="21"/>
              </w:rPr>
              <w:t>6</w:t>
            </w:r>
            <w:r>
              <w:rPr>
                <w:rFonts w:hint="eastAsia" w:hAnsi="宋体"/>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3170" w:type="dxa"/>
            <w:tcBorders>
              <w:top w:val="single" w:color="auto" w:sz="4" w:space="0"/>
              <w:bottom w:val="single" w:color="auto" w:sz="4" w:space="0"/>
              <w:right w:val="single" w:color="auto" w:sz="4" w:space="0"/>
            </w:tcBorders>
            <w:vAlign w:val="center"/>
          </w:tcPr>
          <w:p>
            <w:pPr>
              <w:spacing w:line="260" w:lineRule="exact"/>
              <w:jc w:val="center"/>
              <w:rPr>
                <w:rFonts w:hAnsi="宋体"/>
                <w:b/>
                <w:sz w:val="21"/>
                <w:szCs w:val="21"/>
              </w:rPr>
            </w:pPr>
            <w:r>
              <w:rPr>
                <w:rFonts w:hint="eastAsia" w:hAnsi="宋体"/>
                <w:b/>
                <w:sz w:val="21"/>
                <w:szCs w:val="21"/>
              </w:rPr>
              <w:t>科 研 机 构</w:t>
            </w:r>
          </w:p>
        </w:tc>
        <w:tc>
          <w:tcPr>
            <w:tcW w:w="1544" w:type="dxa"/>
            <w:tcBorders>
              <w:left w:val="single" w:color="auto" w:sz="4" w:space="0"/>
            </w:tcBorders>
            <w:vAlign w:val="center"/>
          </w:tcPr>
          <w:p>
            <w:pPr>
              <w:widowControl/>
              <w:spacing w:line="260" w:lineRule="exact"/>
              <w:jc w:val="center"/>
              <w:rPr>
                <w:rFonts w:hAnsi="宋体"/>
                <w:kern w:val="0"/>
                <w:sz w:val="21"/>
                <w:szCs w:val="21"/>
              </w:rPr>
            </w:pPr>
            <w:r>
              <w:rPr>
                <w:rFonts w:hint="eastAsia" w:hAnsi="宋体"/>
                <w:kern w:val="0"/>
                <w:sz w:val="21"/>
                <w:szCs w:val="21"/>
              </w:rPr>
              <w:t>3.0</w:t>
            </w:r>
          </w:p>
        </w:tc>
        <w:tc>
          <w:tcPr>
            <w:tcW w:w="1544" w:type="dxa"/>
            <w:vAlign w:val="center"/>
          </w:tcPr>
          <w:p>
            <w:pPr>
              <w:widowControl/>
              <w:spacing w:line="260" w:lineRule="exact"/>
              <w:ind w:firstLine="14" w:firstLineChars="7"/>
              <w:jc w:val="center"/>
              <w:rPr>
                <w:rFonts w:hAnsi="宋体"/>
                <w:kern w:val="0"/>
                <w:sz w:val="21"/>
                <w:szCs w:val="21"/>
              </w:rPr>
            </w:pPr>
            <w:r>
              <w:rPr>
                <w:rFonts w:hint="eastAsia" w:hAnsi="宋体"/>
                <w:kern w:val="0"/>
                <w:sz w:val="21"/>
                <w:szCs w:val="21"/>
              </w:rPr>
              <w:t>3</w:t>
            </w:r>
            <w:r>
              <w:rPr>
                <w:rFonts w:hAnsi="宋体"/>
                <w:kern w:val="0"/>
                <w:sz w:val="21"/>
                <w:szCs w:val="21"/>
              </w:rPr>
              <w:t>5</w:t>
            </w:r>
            <w:r>
              <w:rPr>
                <w:rFonts w:hint="eastAsia" w:hAnsi="宋体"/>
                <w:kern w:val="0"/>
                <w:sz w:val="21"/>
                <w:szCs w:val="21"/>
              </w:rPr>
              <w:t>%</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2.5</w:t>
            </w:r>
          </w:p>
        </w:tc>
        <w:tc>
          <w:tcPr>
            <w:tcW w:w="1544" w:type="dxa"/>
            <w:vAlign w:val="center"/>
          </w:tcPr>
          <w:p>
            <w:pPr>
              <w:widowControl/>
              <w:spacing w:line="260" w:lineRule="exact"/>
              <w:jc w:val="center"/>
              <w:rPr>
                <w:rFonts w:hAnsi="宋体"/>
                <w:kern w:val="0"/>
                <w:sz w:val="21"/>
                <w:szCs w:val="21"/>
              </w:rPr>
            </w:pPr>
            <w:r>
              <w:rPr>
                <w:rFonts w:hAnsi="宋体"/>
                <w:kern w:val="0"/>
                <w:sz w:val="21"/>
                <w:szCs w:val="21"/>
              </w:rPr>
              <w:t>30</w:t>
            </w:r>
            <w:r>
              <w:rPr>
                <w:rFonts w:hint="eastAsia" w:hAnsi="宋体"/>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3170" w:type="dxa"/>
            <w:tcBorders>
              <w:top w:val="single" w:color="auto" w:sz="4" w:space="0"/>
              <w:bottom w:val="single" w:color="auto" w:sz="4" w:space="0"/>
            </w:tcBorders>
            <w:vAlign w:val="center"/>
          </w:tcPr>
          <w:p>
            <w:pPr>
              <w:spacing w:line="260" w:lineRule="exact"/>
              <w:jc w:val="center"/>
              <w:rPr>
                <w:rFonts w:hAnsi="宋体"/>
                <w:b/>
                <w:sz w:val="21"/>
                <w:szCs w:val="21"/>
              </w:rPr>
            </w:pPr>
            <w:r>
              <w:rPr>
                <w:rFonts w:hint="eastAsia" w:hAnsi="宋体"/>
                <w:b/>
                <w:sz w:val="21"/>
                <w:szCs w:val="21"/>
              </w:rPr>
              <w:t xml:space="preserve">行政、文体、卫生等 </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2.</w:t>
            </w:r>
            <w:r>
              <w:rPr>
                <w:rFonts w:hAnsi="宋体"/>
                <w:kern w:val="0"/>
                <w:sz w:val="21"/>
                <w:szCs w:val="21"/>
              </w:rPr>
              <w:t>5</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35%</w:t>
            </w:r>
          </w:p>
        </w:tc>
        <w:tc>
          <w:tcPr>
            <w:tcW w:w="1544" w:type="dxa"/>
            <w:vAlign w:val="center"/>
          </w:tcPr>
          <w:p>
            <w:pPr>
              <w:widowControl/>
              <w:spacing w:line="260" w:lineRule="exact"/>
              <w:jc w:val="center"/>
              <w:rPr>
                <w:rFonts w:hAnsi="宋体"/>
                <w:kern w:val="0"/>
                <w:sz w:val="21"/>
                <w:szCs w:val="21"/>
              </w:rPr>
            </w:pPr>
            <w:r>
              <w:rPr>
                <w:rFonts w:hAnsi="宋体"/>
                <w:kern w:val="0"/>
                <w:sz w:val="21"/>
                <w:szCs w:val="21"/>
              </w:rPr>
              <w:t>2.0</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30%</w:t>
            </w:r>
          </w:p>
        </w:tc>
      </w:tr>
    </w:tbl>
    <w:p>
      <w:pPr>
        <w:spacing w:line="400" w:lineRule="exact"/>
        <w:ind w:left="840" w:hanging="840" w:hangingChars="350"/>
        <w:rPr>
          <w:sz w:val="24"/>
          <w:szCs w:val="24"/>
        </w:rPr>
      </w:pPr>
      <w:r>
        <w:rPr>
          <w:rFonts w:hint="eastAsia"/>
          <w:sz w:val="24"/>
          <w:szCs w:val="24"/>
        </w:rPr>
        <w:t>注：1、本表控制指标均为上限；</w:t>
      </w:r>
    </w:p>
    <w:p>
      <w:pPr>
        <w:spacing w:line="400" w:lineRule="exact"/>
        <w:ind w:firstLine="480" w:firstLineChars="200"/>
        <w:rPr>
          <w:sz w:val="24"/>
          <w:szCs w:val="24"/>
        </w:rPr>
      </w:pPr>
      <w:r>
        <w:rPr>
          <w:rFonts w:hint="eastAsia"/>
          <w:sz w:val="24"/>
          <w:szCs w:val="24"/>
        </w:rPr>
        <w:t>2、教育设施用地包括大学、中学、小学学校用地，不包括幼儿园用地；</w:t>
      </w:r>
    </w:p>
    <w:p>
      <w:pPr>
        <w:spacing w:after="269" w:afterLines="50" w:line="400" w:lineRule="exact"/>
        <w:ind w:left="840" w:hanging="840" w:hangingChars="350"/>
        <w:rPr>
          <w:sz w:val="24"/>
          <w:szCs w:val="24"/>
        </w:rPr>
      </w:pPr>
      <w:r>
        <w:rPr>
          <w:sz w:val="24"/>
          <w:szCs w:val="24"/>
        </w:rPr>
        <w:t xml:space="preserve">    3</w:t>
      </w:r>
      <w:r>
        <w:rPr>
          <w:rFonts w:hint="eastAsia"/>
          <w:sz w:val="24"/>
          <w:szCs w:val="24"/>
        </w:rPr>
        <w:t>、旧区改建项目</w:t>
      </w:r>
      <w:r>
        <w:rPr>
          <w:sz w:val="24"/>
          <w:szCs w:val="24"/>
        </w:rPr>
        <w:t>的</w:t>
      </w:r>
      <w:r>
        <w:rPr>
          <w:rFonts w:hint="eastAsia"/>
          <w:sz w:val="24"/>
          <w:szCs w:val="24"/>
        </w:rPr>
        <w:t>容积率、建筑密度可上浮</w:t>
      </w:r>
      <w:r>
        <w:rPr>
          <w:sz w:val="24"/>
          <w:szCs w:val="24"/>
        </w:rPr>
        <w:t>25</w:t>
      </w:r>
      <w:r>
        <w:rPr>
          <w:rFonts w:hint="eastAsia"/>
          <w:sz w:val="24"/>
          <w:szCs w:val="24"/>
        </w:rPr>
        <w:t>%。</w:t>
      </w:r>
    </w:p>
    <w:p>
      <w:pPr>
        <w:pStyle w:val="22"/>
        <w:numPr>
          <w:ilvl w:val="2"/>
          <w:numId w:val="1"/>
        </w:numPr>
        <w:ind w:left="0" w:firstLine="560"/>
      </w:pPr>
      <w:r>
        <w:rPr>
          <w:rFonts w:hint="eastAsia"/>
        </w:rPr>
        <w:t>教育设施用地中的各类大专院校配套教工单身宿舍（公寓）建筑面积控制指标应符合表2</w:t>
      </w:r>
      <w:r>
        <w:t>.10.2</w:t>
      </w:r>
      <w:r>
        <w:rPr>
          <w:rFonts w:hint="eastAsia"/>
        </w:rPr>
        <w:t>的规定。</w:t>
      </w:r>
    </w:p>
    <w:p>
      <w:pPr>
        <w:pStyle w:val="6"/>
        <w:keepNext/>
        <w:rPr>
          <w:sz w:val="24"/>
          <w:szCs w:val="24"/>
        </w:rPr>
      </w:pPr>
      <w:r>
        <w:rPr>
          <w:rFonts w:hint="eastAsia"/>
          <w:sz w:val="24"/>
          <w:szCs w:val="24"/>
        </w:rPr>
        <w:t>表2</w:t>
      </w:r>
      <w:r>
        <w:rPr>
          <w:sz w:val="24"/>
          <w:szCs w:val="24"/>
        </w:rPr>
        <w:t xml:space="preserve">.10.2 </w:t>
      </w:r>
      <w:r>
        <w:rPr>
          <w:rFonts w:hint="eastAsia"/>
          <w:sz w:val="24"/>
          <w:szCs w:val="24"/>
        </w:rPr>
        <w:t>大专院校教工单身宿舍（公寓）建筑面积指标</w:t>
      </w:r>
    </w:p>
    <w:tbl>
      <w:tblPr>
        <w:tblStyle w:val="1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2103"/>
        <w:gridCol w:w="210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33" w:type="dxa"/>
            <w:vAlign w:val="center"/>
          </w:tcPr>
          <w:p>
            <w:pPr>
              <w:spacing w:line="260" w:lineRule="exact"/>
              <w:jc w:val="center"/>
              <w:rPr>
                <w:rFonts w:hAnsi="宋体"/>
                <w:b/>
                <w:sz w:val="21"/>
                <w:szCs w:val="21"/>
              </w:rPr>
            </w:pPr>
            <w:r>
              <w:rPr>
                <w:rFonts w:hint="eastAsia" w:hAnsi="宋体"/>
                <w:b/>
                <w:sz w:val="21"/>
                <w:szCs w:val="21"/>
              </w:rPr>
              <w:t>办学规模</w:t>
            </w:r>
            <w:r>
              <w:rPr>
                <w:rFonts w:hint="eastAsia" w:hAnsi="宋体"/>
                <w:sz w:val="21"/>
                <w:szCs w:val="21"/>
              </w:rPr>
              <w:t>（学生人数）</w:t>
            </w:r>
          </w:p>
        </w:tc>
        <w:tc>
          <w:tcPr>
            <w:tcW w:w="2103" w:type="dxa"/>
            <w:vAlign w:val="center"/>
          </w:tcPr>
          <w:p>
            <w:pPr>
              <w:spacing w:line="260" w:lineRule="exact"/>
              <w:jc w:val="center"/>
              <w:rPr>
                <w:rFonts w:hAnsi="宋体"/>
                <w:sz w:val="21"/>
                <w:szCs w:val="21"/>
              </w:rPr>
            </w:pPr>
            <w:r>
              <w:rPr>
                <w:rFonts w:hint="eastAsia" w:hAnsi="宋体"/>
                <w:sz w:val="21"/>
                <w:szCs w:val="21"/>
              </w:rPr>
              <w:t>≤5000</w:t>
            </w:r>
          </w:p>
        </w:tc>
        <w:tc>
          <w:tcPr>
            <w:tcW w:w="2104" w:type="dxa"/>
            <w:vAlign w:val="center"/>
          </w:tcPr>
          <w:p>
            <w:pPr>
              <w:spacing w:line="260" w:lineRule="exact"/>
              <w:jc w:val="center"/>
              <w:rPr>
                <w:rFonts w:hAnsi="宋体"/>
                <w:sz w:val="21"/>
                <w:szCs w:val="21"/>
              </w:rPr>
            </w:pPr>
            <w:r>
              <w:rPr>
                <w:rFonts w:hint="eastAsia" w:hAnsi="宋体"/>
                <w:sz w:val="21"/>
                <w:szCs w:val="21"/>
              </w:rPr>
              <w:t>8000</w:t>
            </w:r>
          </w:p>
        </w:tc>
        <w:tc>
          <w:tcPr>
            <w:tcW w:w="2104" w:type="dxa"/>
            <w:vAlign w:val="center"/>
          </w:tcPr>
          <w:p>
            <w:pPr>
              <w:spacing w:line="260" w:lineRule="exact"/>
              <w:jc w:val="center"/>
              <w:rPr>
                <w:rFonts w:hAnsi="宋体"/>
                <w:sz w:val="21"/>
                <w:szCs w:val="21"/>
              </w:rPr>
            </w:pPr>
            <w:r>
              <w:rPr>
                <w:rFonts w:hint="eastAsia" w:hAnsi="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33" w:type="dxa"/>
            <w:vAlign w:val="center"/>
          </w:tcPr>
          <w:p>
            <w:pPr>
              <w:spacing w:line="260" w:lineRule="exact"/>
              <w:jc w:val="center"/>
              <w:rPr>
                <w:rFonts w:hAnsi="宋体"/>
                <w:b/>
                <w:sz w:val="21"/>
                <w:szCs w:val="21"/>
              </w:rPr>
            </w:pPr>
            <w:r>
              <w:rPr>
                <w:rFonts w:hint="eastAsia" w:hAnsi="宋体"/>
                <w:b/>
                <w:sz w:val="21"/>
                <w:szCs w:val="21"/>
              </w:rPr>
              <w:t>建筑面积指标</w:t>
            </w:r>
            <w:r>
              <w:rPr>
                <w:rFonts w:hint="eastAsia" w:hAnsi="宋体"/>
                <w:sz w:val="21"/>
                <w:szCs w:val="21"/>
              </w:rPr>
              <w:t>（㎡／生）</w:t>
            </w:r>
          </w:p>
        </w:tc>
        <w:tc>
          <w:tcPr>
            <w:tcW w:w="2103" w:type="dxa"/>
            <w:vAlign w:val="center"/>
          </w:tcPr>
          <w:p>
            <w:pPr>
              <w:spacing w:line="260" w:lineRule="exact"/>
              <w:jc w:val="center"/>
              <w:rPr>
                <w:rFonts w:hAnsi="宋体"/>
                <w:sz w:val="21"/>
                <w:szCs w:val="21"/>
              </w:rPr>
            </w:pPr>
            <w:r>
              <w:rPr>
                <w:rFonts w:hint="eastAsia" w:hAnsi="宋体"/>
                <w:sz w:val="21"/>
                <w:szCs w:val="21"/>
              </w:rPr>
              <w:t>0.5</w:t>
            </w:r>
          </w:p>
        </w:tc>
        <w:tc>
          <w:tcPr>
            <w:tcW w:w="2104" w:type="dxa"/>
            <w:vAlign w:val="center"/>
          </w:tcPr>
          <w:p>
            <w:pPr>
              <w:spacing w:line="260" w:lineRule="exact"/>
              <w:jc w:val="center"/>
              <w:rPr>
                <w:rFonts w:hAnsi="宋体"/>
                <w:sz w:val="21"/>
                <w:szCs w:val="21"/>
              </w:rPr>
            </w:pPr>
            <w:r>
              <w:rPr>
                <w:rFonts w:hint="eastAsia" w:hAnsi="宋体"/>
                <w:sz w:val="21"/>
                <w:szCs w:val="21"/>
              </w:rPr>
              <w:t>0.45</w:t>
            </w:r>
          </w:p>
        </w:tc>
        <w:tc>
          <w:tcPr>
            <w:tcW w:w="2104" w:type="dxa"/>
            <w:vAlign w:val="center"/>
          </w:tcPr>
          <w:p>
            <w:pPr>
              <w:spacing w:line="260" w:lineRule="exact"/>
              <w:jc w:val="center"/>
              <w:rPr>
                <w:rFonts w:hAnsi="宋体"/>
                <w:sz w:val="21"/>
                <w:szCs w:val="21"/>
              </w:rPr>
            </w:pPr>
            <w:r>
              <w:rPr>
                <w:rFonts w:hint="eastAsia" w:hAnsi="宋体"/>
                <w:sz w:val="21"/>
                <w:szCs w:val="21"/>
              </w:rPr>
              <w:t>0.4</w:t>
            </w:r>
          </w:p>
        </w:tc>
      </w:tr>
    </w:tbl>
    <w:p>
      <w:pPr>
        <w:spacing w:line="400" w:lineRule="exact"/>
        <w:ind w:left="840" w:hanging="840" w:hangingChars="350"/>
        <w:rPr>
          <w:sz w:val="24"/>
          <w:szCs w:val="24"/>
        </w:rPr>
      </w:pPr>
      <w:r>
        <w:rPr>
          <w:rFonts w:hint="eastAsia"/>
          <w:sz w:val="24"/>
          <w:szCs w:val="24"/>
        </w:rPr>
        <w:t>注：1、本表控制指标均为上限；</w:t>
      </w:r>
    </w:p>
    <w:p>
      <w:pPr>
        <w:spacing w:after="269" w:afterLines="50" w:line="400" w:lineRule="exact"/>
        <w:ind w:left="836" w:leftChars="170" w:hanging="360" w:hangingChars="150"/>
        <w:rPr>
          <w:sz w:val="24"/>
          <w:szCs w:val="24"/>
        </w:rPr>
      </w:pPr>
      <w:r>
        <w:rPr>
          <w:rFonts w:hint="eastAsia"/>
          <w:sz w:val="24"/>
          <w:szCs w:val="24"/>
        </w:rPr>
        <w:t>2、普通中小学校配套教工单身宿舍应按国标《城乡普通中小学校校舍建设标准》建筑面积指标执行。</w:t>
      </w:r>
    </w:p>
    <w:p>
      <w:pPr>
        <w:pStyle w:val="2"/>
        <w:numPr>
          <w:ilvl w:val="0"/>
          <w:numId w:val="1"/>
        </w:numPr>
        <w:ind w:left="781" w:hanging="781" w:hangingChars="217"/>
      </w:pPr>
      <w:bookmarkStart w:id="12" w:name="_Toc523230036"/>
      <w:r>
        <w:rPr>
          <w:rFonts w:hint="eastAsia"/>
        </w:rPr>
        <w:t>绿地与公共配套设施</w:t>
      </w:r>
      <w:bookmarkEnd w:id="12"/>
    </w:p>
    <w:p>
      <w:pPr>
        <w:pStyle w:val="3"/>
        <w:numPr>
          <w:ilvl w:val="1"/>
          <w:numId w:val="1"/>
        </w:numPr>
        <w:ind w:left="941" w:hanging="940" w:hangingChars="294"/>
        <w:rPr>
          <w:lang w:eastAsia="zh-CN"/>
        </w:rPr>
      </w:pPr>
      <w:bookmarkStart w:id="13" w:name="_Toc523230037"/>
      <w:r>
        <w:rPr>
          <w:rFonts w:hint="eastAsia"/>
          <w:lang w:eastAsia="zh-CN"/>
        </w:rPr>
        <w:t>配建绿地</w:t>
      </w:r>
      <w:bookmarkEnd w:id="13"/>
    </w:p>
    <w:p>
      <w:pPr>
        <w:ind w:firstLine="560" w:firstLineChars="200"/>
      </w:pPr>
      <w:r>
        <w:rPr>
          <w:rFonts w:hint="eastAsia"/>
        </w:rPr>
        <w:t>住宅区、工业区、物流仓储区、公共管理与公共服务设施等配建的附属绿地，用地功能服从其所附属的城乡建设用地性质。</w:t>
      </w:r>
    </w:p>
    <w:p>
      <w:pPr>
        <w:pStyle w:val="22"/>
        <w:numPr>
          <w:ilvl w:val="2"/>
          <w:numId w:val="1"/>
        </w:numPr>
        <w:ind w:left="0" w:firstLine="560"/>
      </w:pPr>
      <w:r>
        <w:rPr>
          <w:rFonts w:hint="eastAsia"/>
        </w:rPr>
        <w:t>居住用地绿地</w:t>
      </w:r>
    </w:p>
    <w:p>
      <w:pPr>
        <w:ind w:firstLine="560" w:firstLineChars="200"/>
      </w:pPr>
      <w:r>
        <w:rPr>
          <w:rFonts w:hint="eastAsia"/>
        </w:rPr>
        <w:t>1、居住区内绿地由居住区、小区和组团内的公共绿地、宅旁绿地、配套服务设施所属绿地和道路绿地组成，包括满足种植草皮、树木绿化覆土要求，并方便居民出入的地下建筑或半地下建筑屋顶绿地。</w:t>
      </w:r>
    </w:p>
    <w:p>
      <w:pPr>
        <w:ind w:firstLine="560" w:firstLineChars="200"/>
      </w:pPr>
      <w:r>
        <w:rPr>
          <w:rFonts w:hint="eastAsia"/>
        </w:rPr>
        <w:t>2、居住区（包括小区和组团）内绿地率为：城乡旧区改建不低于25%，非旧区建设不低于30%；城乡非旧区保障性住房建设项目的绿地率按不小于25%控制。其中的绿化用地面积（含水面）不宜小于70%。</w:t>
      </w:r>
    </w:p>
    <w:p>
      <w:pPr>
        <w:ind w:firstLine="560" w:firstLineChars="200"/>
      </w:pPr>
      <w:r>
        <w:t>4、</w:t>
      </w:r>
      <w:r>
        <w:rPr>
          <w:rFonts w:hint="eastAsia"/>
        </w:rPr>
        <w:t>居住区绿地布置宜采用集中与分散相结合，居住区中心绿地设置应至少有一边与相应级别的道路相临。2公顷以上居住用地应设置不少于建设用地面积2%（旧城区不少于用地面积1%）对外开放的组团式附属绿地（大于800平方米的应分散点状布局），作为公众休憩使用。</w:t>
      </w:r>
    </w:p>
    <w:p>
      <w:pPr>
        <w:pStyle w:val="22"/>
        <w:numPr>
          <w:ilvl w:val="2"/>
          <w:numId w:val="1"/>
        </w:numPr>
        <w:ind w:left="0" w:firstLine="560"/>
      </w:pPr>
      <w:r>
        <w:rPr>
          <w:rFonts w:hint="eastAsia"/>
        </w:rPr>
        <w:t>商业服务业用地绿地</w:t>
      </w:r>
    </w:p>
    <w:p>
      <w:pPr>
        <w:ind w:firstLine="560" w:firstLineChars="200"/>
      </w:pPr>
      <w:r>
        <w:rPr>
          <w:rFonts w:hint="eastAsia"/>
        </w:rPr>
        <w:t>商业服务业建筑面积小于2万平方米的建设项目，绿地率不低于</w:t>
      </w:r>
      <w:r>
        <w:t>20</w:t>
      </w:r>
      <w:r>
        <w:rPr>
          <w:rFonts w:hint="eastAsia"/>
        </w:rPr>
        <w:t>%；建筑面积2万平方米以上的绿地率不低于</w:t>
      </w:r>
      <w:r>
        <w:t>25</w:t>
      </w:r>
      <w:r>
        <w:rPr>
          <w:rFonts w:hint="eastAsia"/>
        </w:rPr>
        <w:t>%。</w:t>
      </w:r>
    </w:p>
    <w:p>
      <w:pPr>
        <w:pStyle w:val="22"/>
        <w:numPr>
          <w:ilvl w:val="2"/>
          <w:numId w:val="1"/>
        </w:numPr>
        <w:ind w:left="0" w:firstLine="560"/>
      </w:pPr>
      <w:r>
        <w:rPr>
          <w:rFonts w:hint="eastAsia"/>
        </w:rPr>
        <w:t>公共设施用地绿地</w:t>
      </w:r>
    </w:p>
    <w:p>
      <w:pPr>
        <w:ind w:firstLine="560" w:firstLineChars="200"/>
      </w:pPr>
      <w:r>
        <w:rPr>
          <w:rFonts w:hint="eastAsia"/>
        </w:rPr>
        <w:t>学校、医院、休疗养院所、机关团体、公共文化体育设施、部队等单位的绿地率不低于35%。</w:t>
      </w:r>
    </w:p>
    <w:p>
      <w:pPr>
        <w:pStyle w:val="22"/>
        <w:numPr>
          <w:ilvl w:val="2"/>
          <w:numId w:val="1"/>
        </w:numPr>
        <w:ind w:left="0" w:firstLine="560"/>
      </w:pPr>
      <w:r>
        <w:rPr>
          <w:rFonts w:hint="eastAsia"/>
        </w:rPr>
        <w:t>工业、物流仓储用地绿地</w:t>
      </w:r>
    </w:p>
    <w:p>
      <w:pPr>
        <w:ind w:firstLine="560" w:firstLineChars="200"/>
      </w:pPr>
      <w:r>
        <w:rPr>
          <w:rFonts w:hint="eastAsia"/>
        </w:rPr>
        <w:t>1、工业、物流仓储用地的绿地率一般不超过20%，但应结合园区规划在园区四周统一设置防护绿地。</w:t>
      </w:r>
    </w:p>
    <w:p>
      <w:pPr>
        <w:ind w:firstLine="560" w:firstLineChars="200"/>
      </w:pPr>
      <w:r>
        <w:t>2</w:t>
      </w:r>
      <w:r>
        <w:rPr>
          <w:rFonts w:hint="eastAsia"/>
        </w:rPr>
        <w:t>、城乡供水厂、污水处理厂和垃圾处理厂的绿地率应不低于40%，排水泵站绿地率不低于20%，变电站绿地率根据具体情况确定。</w:t>
      </w:r>
    </w:p>
    <w:p>
      <w:pPr>
        <w:pStyle w:val="22"/>
        <w:numPr>
          <w:ilvl w:val="2"/>
          <w:numId w:val="1"/>
        </w:numPr>
        <w:ind w:left="0" w:firstLine="560"/>
      </w:pPr>
      <w:r>
        <w:rPr>
          <w:rFonts w:hint="eastAsia"/>
        </w:rPr>
        <w:t>城乡各类建设用地下沉式绿地率应大于50%，透水铺装率应大于50%（旧城区改造用地大于20%），绿色屋顶率应大于20%。</w:t>
      </w:r>
    </w:p>
    <w:p>
      <w:pPr>
        <w:pStyle w:val="3"/>
        <w:numPr>
          <w:ilvl w:val="1"/>
          <w:numId w:val="1"/>
        </w:numPr>
        <w:ind w:left="941" w:hanging="940" w:hangingChars="294"/>
        <w:rPr>
          <w:lang w:eastAsia="zh-CN"/>
        </w:rPr>
      </w:pPr>
      <w:bookmarkStart w:id="14" w:name="_Toc523230038"/>
      <w:r>
        <w:rPr>
          <w:rFonts w:hint="eastAsia"/>
          <w:lang w:eastAsia="zh-CN"/>
        </w:rPr>
        <w:t>配建公共服务设施</w:t>
      </w:r>
      <w:bookmarkEnd w:id="14"/>
    </w:p>
    <w:p>
      <w:pPr>
        <w:pStyle w:val="22"/>
        <w:numPr>
          <w:ilvl w:val="2"/>
          <w:numId w:val="1"/>
        </w:numPr>
        <w:ind w:left="0" w:firstLine="560"/>
      </w:pPr>
      <w:r>
        <w:rPr>
          <w:rFonts w:hint="eastAsia"/>
        </w:rPr>
        <w:t>居住用地公共服务设施按片区级、居住区级、小区级三级配置。居住组团级根据人口情况，参照小区级最小规模设置幼儿园、老年人服务站点和健身设施。</w:t>
      </w:r>
    </w:p>
    <w:p>
      <w:pPr>
        <w:pStyle w:val="22"/>
        <w:numPr>
          <w:ilvl w:val="2"/>
          <w:numId w:val="1"/>
        </w:numPr>
        <w:ind w:left="0" w:firstLine="560"/>
      </w:pPr>
      <w:r>
        <w:rPr>
          <w:rFonts w:hint="eastAsia"/>
        </w:rPr>
        <w:t>片区级公共服务设施按使用功能主要分为教育科研、医疗卫生、文化体育、商业金融、社会福利与保障、市政公用、社区服务与行政管理设施。片区级公共服务设施应根据城乡规划的要求，与规划功能定位、社会经济发展目标和社会需求相适应，在符合相关标准的条件下，在区域范围内统筹安排，合理布置。其中养老服务设施按照人均用地不低于0.1平方米的标准，分区分级规划设置。</w:t>
      </w:r>
    </w:p>
    <w:p>
      <w:pPr>
        <w:pStyle w:val="22"/>
        <w:numPr>
          <w:ilvl w:val="2"/>
          <w:numId w:val="1"/>
        </w:numPr>
        <w:ind w:left="0" w:firstLine="560"/>
      </w:pPr>
      <w:r>
        <w:rPr>
          <w:rFonts w:hint="eastAsia"/>
        </w:rPr>
        <w:t>居住人口达到小区级或居住区级人口规模的，应按表3.</w:t>
      </w:r>
      <w:r>
        <w:t>2</w:t>
      </w:r>
      <w:r>
        <w:rPr>
          <w:rFonts w:hint="eastAsia"/>
        </w:rPr>
        <w:t>配套中小学校。应配建中小学校的开发地块可按以下规定执行：</w:t>
      </w:r>
    </w:p>
    <w:p>
      <w:pPr>
        <w:ind w:firstLine="560" w:firstLineChars="200"/>
      </w:pPr>
      <w:r>
        <w:rPr>
          <w:rFonts w:hint="eastAsia"/>
        </w:rPr>
        <w:t>1、开发地块在现状建成的中小学校服务范围内，且学校规模满足该地块居住人口配套需求的，可不另行配建中小学校。</w:t>
      </w:r>
    </w:p>
    <w:p>
      <w:pPr>
        <w:ind w:firstLine="560" w:firstLineChars="200"/>
      </w:pPr>
      <w:r>
        <w:t>2</w:t>
      </w:r>
      <w:r>
        <w:rPr>
          <w:rFonts w:hint="eastAsia"/>
        </w:rPr>
        <w:t>、在服务范围内规划配套但尚未建设的中小学校，由地块开发单位投资建设的，该学校用地可纳入建设单位项目开发地块规划指标平衡，且项目开发地块按标准配套的学校建筑面积不纳入容积率计算。</w:t>
      </w:r>
    </w:p>
    <w:p>
      <w:pPr>
        <w:pStyle w:val="22"/>
        <w:numPr>
          <w:ilvl w:val="2"/>
          <w:numId w:val="1"/>
        </w:numPr>
        <w:ind w:left="0" w:firstLine="560"/>
      </w:pPr>
      <w:r>
        <w:rPr>
          <w:rFonts w:hint="eastAsia"/>
        </w:rPr>
        <w:t>建设用地人口规模尚未达到应配建中小学校最低标准，不具备条件单独配建中小学校，或建设用地周边的中小学校按控制性详细规划已满足就学需求，不需要单独配建中小学校的，建设单位应按照政府的统筹安排在异地补偿建设学校。</w:t>
      </w:r>
    </w:p>
    <w:p>
      <w:pPr>
        <w:pStyle w:val="22"/>
        <w:numPr>
          <w:ilvl w:val="2"/>
          <w:numId w:val="1"/>
        </w:numPr>
        <w:ind w:left="0" w:firstLine="560"/>
      </w:pPr>
      <w:r>
        <w:rPr>
          <w:rFonts w:hint="eastAsia"/>
        </w:rPr>
        <w:t>居住用地每4500人以上地块应设置一所6个班以上的幼儿园，幼儿园规模和用地标准按表</w:t>
      </w:r>
      <w:r>
        <w:t>3</w:t>
      </w:r>
      <w:r>
        <w:rPr>
          <w:rFonts w:hint="eastAsia"/>
        </w:rPr>
        <w:t>.</w:t>
      </w:r>
      <w:r>
        <w:t>2</w:t>
      </w:r>
      <w:r>
        <w:rPr>
          <w:rFonts w:hint="eastAsia"/>
        </w:rPr>
        <w:t>确定。建设用地开发总量达不到4500人的住宅项目，应结合周边用地统一规划设置幼儿园用地。</w:t>
      </w:r>
    </w:p>
    <w:p>
      <w:pPr>
        <w:pStyle w:val="22"/>
        <w:numPr>
          <w:ilvl w:val="2"/>
          <w:numId w:val="1"/>
        </w:numPr>
        <w:ind w:left="0" w:firstLine="560"/>
      </w:pPr>
      <w:r>
        <w:rPr>
          <w:rFonts w:hint="eastAsia"/>
        </w:rPr>
        <w:t>建设项目配建老人活动中心、托老所的建筑面积可不纳入容积率计算，独立设置的可不纳入建筑密度计算（控制性详细规划编制时，应纳入用地指标平衡）。</w:t>
      </w:r>
    </w:p>
    <w:p>
      <w:pPr>
        <w:pStyle w:val="22"/>
        <w:numPr>
          <w:ilvl w:val="2"/>
          <w:numId w:val="1"/>
        </w:numPr>
        <w:ind w:left="0" w:firstLine="560"/>
      </w:pPr>
      <w:r>
        <w:rPr>
          <w:rFonts w:hint="eastAsia"/>
        </w:rPr>
        <w:t>当居住用地或人口达到居住区级规模，应设置肉菜市场，城市边缘地段新区居住人口不足时允许设置小区级肉菜市场（生鲜超市）。</w:t>
      </w:r>
    </w:p>
    <w:p>
      <w:pPr>
        <w:ind w:firstLine="560" w:firstLineChars="200"/>
      </w:pPr>
      <w:r>
        <w:rPr>
          <w:rFonts w:hint="eastAsia"/>
        </w:rPr>
        <w:t>旧城区规划新增肉菜市场用地困难的，可结合非住宅建筑（小区级以上用地规模可利用公共服务设施地下空间）设置肉菜超市。</w:t>
      </w:r>
    </w:p>
    <w:p>
      <w:pPr>
        <w:pStyle w:val="22"/>
        <w:numPr>
          <w:ilvl w:val="2"/>
          <w:numId w:val="1"/>
        </w:numPr>
        <w:ind w:left="0" w:firstLine="560"/>
      </w:pPr>
      <w:r>
        <w:rPr>
          <w:rFonts w:hint="eastAsia"/>
        </w:rPr>
        <w:t>居住用地应按人口规模，依照表3</w:t>
      </w:r>
      <w:r>
        <w:t>.2</w:t>
      </w:r>
      <w:r>
        <w:rPr>
          <w:rFonts w:hint="eastAsia"/>
        </w:rPr>
        <w:t>配置生活垃圾收集站点。</w:t>
      </w:r>
    </w:p>
    <w:p>
      <w:pPr>
        <w:pStyle w:val="22"/>
        <w:numPr>
          <w:ilvl w:val="2"/>
          <w:numId w:val="1"/>
        </w:numPr>
        <w:ind w:left="0" w:firstLine="560"/>
      </w:pPr>
      <w:r>
        <w:rPr>
          <w:rFonts w:hint="eastAsia"/>
        </w:rPr>
        <w:t>公共服务设施应与住宅建筑同步规划、同步建设、同步规划核实、同步交付使用。</w:t>
      </w:r>
    </w:p>
    <w:p>
      <w:pPr>
        <w:pStyle w:val="22"/>
        <w:ind w:left="560" w:firstLine="0" w:firstLineChars="0"/>
      </w:pPr>
    </w:p>
    <w:p>
      <w:pPr>
        <w:pStyle w:val="22"/>
        <w:numPr>
          <w:ilvl w:val="2"/>
          <w:numId w:val="1"/>
        </w:numPr>
        <w:ind w:left="0" w:firstLine="560"/>
        <w:sectPr>
          <w:type w:val="nextColumn"/>
          <w:pgSz w:w="11906" w:h="16838"/>
          <w:pgMar w:top="1418" w:right="1134" w:bottom="1418" w:left="1134" w:header="851" w:footer="680" w:gutter="284"/>
          <w:cols w:space="425" w:num="1"/>
          <w:docGrid w:type="lines" w:linePitch="538" w:charSpace="0"/>
        </w:sectPr>
      </w:pPr>
    </w:p>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w:t>
      </w:r>
    </w:p>
    <w:tbl>
      <w:tblPr>
        <w:tblStyle w:val="18"/>
        <w:tblW w:w="13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19"/>
        <w:gridCol w:w="630"/>
        <w:gridCol w:w="1155"/>
        <w:gridCol w:w="1155"/>
        <w:gridCol w:w="1155"/>
        <w:gridCol w:w="2205"/>
        <w:gridCol w:w="385"/>
        <w:gridCol w:w="385"/>
        <w:gridCol w:w="385"/>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blHeader/>
        </w:trPr>
        <w:tc>
          <w:tcPr>
            <w:tcW w:w="536" w:type="dxa"/>
            <w:vMerge w:val="restart"/>
            <w:tcBorders>
              <w:right w:val="single" w:color="auto" w:sz="2" w:space="0"/>
            </w:tcBorders>
            <w:vAlign w:val="center"/>
          </w:tcPr>
          <w:p>
            <w:pPr>
              <w:pStyle w:val="29"/>
              <w:rPr>
                <w:rFonts w:ascii="宋体" w:eastAsia="宋体"/>
              </w:rPr>
            </w:pPr>
            <w:r>
              <w:rPr>
                <w:rFonts w:hint="eastAsia" w:ascii="宋体" w:eastAsia="宋体"/>
              </w:rPr>
              <w:t>类</w:t>
            </w:r>
          </w:p>
          <w:p>
            <w:pPr>
              <w:pStyle w:val="29"/>
              <w:rPr>
                <w:rFonts w:ascii="宋体" w:eastAsia="宋体"/>
              </w:rPr>
            </w:pPr>
          </w:p>
          <w:p>
            <w:pPr>
              <w:pStyle w:val="29"/>
              <w:rPr>
                <w:rFonts w:ascii="宋体" w:eastAsia="宋体"/>
              </w:rPr>
            </w:pPr>
            <w:r>
              <w:rPr>
                <w:rFonts w:hint="eastAsia" w:ascii="宋体" w:eastAsia="宋体"/>
              </w:rPr>
              <w:t>别</w:t>
            </w:r>
          </w:p>
        </w:tc>
        <w:tc>
          <w:tcPr>
            <w:tcW w:w="1249" w:type="dxa"/>
            <w:gridSpan w:val="2"/>
            <w:vMerge w:val="restart"/>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项 目 名 称</w:t>
            </w:r>
          </w:p>
        </w:tc>
        <w:tc>
          <w:tcPr>
            <w:tcW w:w="2310" w:type="dxa"/>
            <w:gridSpan w:val="2"/>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一般规模（m²/处）</w:t>
            </w:r>
          </w:p>
        </w:tc>
        <w:tc>
          <w:tcPr>
            <w:tcW w:w="1155" w:type="dxa"/>
            <w:vMerge w:val="restart"/>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服务规模</w:t>
            </w:r>
          </w:p>
          <w:p>
            <w:pPr>
              <w:pStyle w:val="29"/>
              <w:rPr>
                <w:rFonts w:ascii="宋体" w:eastAsia="宋体"/>
              </w:rPr>
            </w:pPr>
            <w:r>
              <w:rPr>
                <w:rFonts w:hint="eastAsia" w:ascii="宋体" w:eastAsia="宋体"/>
              </w:rPr>
              <w:t>（万人）</w:t>
            </w:r>
          </w:p>
        </w:tc>
        <w:tc>
          <w:tcPr>
            <w:tcW w:w="2205" w:type="dxa"/>
            <w:vMerge w:val="restart"/>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设 置 规 定</w:t>
            </w:r>
          </w:p>
        </w:tc>
        <w:tc>
          <w:tcPr>
            <w:tcW w:w="1155" w:type="dxa"/>
            <w:gridSpan w:val="3"/>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设 置 级 别</w:t>
            </w:r>
          </w:p>
        </w:tc>
        <w:tc>
          <w:tcPr>
            <w:tcW w:w="5040" w:type="dxa"/>
            <w:vMerge w:val="restart"/>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blHeader/>
        </w:trPr>
        <w:tc>
          <w:tcPr>
            <w:tcW w:w="536" w:type="dxa"/>
            <w:vMerge w:val="continue"/>
            <w:tcBorders>
              <w:right w:val="single" w:color="auto" w:sz="2" w:space="0"/>
            </w:tcBorders>
            <w:vAlign w:val="center"/>
          </w:tcPr>
          <w:p>
            <w:pPr>
              <w:pStyle w:val="29"/>
              <w:rPr>
                <w:rFonts w:ascii="宋体" w:eastAsia="宋体"/>
              </w:rPr>
            </w:pPr>
          </w:p>
        </w:tc>
        <w:tc>
          <w:tcPr>
            <w:tcW w:w="1249" w:type="dxa"/>
            <w:gridSpan w:val="2"/>
            <w:vMerge w:val="continue"/>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p>
        </w:tc>
        <w:tc>
          <w:tcPr>
            <w:tcW w:w="1155" w:type="dxa"/>
            <w:tcBorders>
              <w:top w:val="single" w:color="auto" w:sz="2" w:space="0"/>
              <w:left w:val="single" w:color="auto" w:sz="2" w:space="0"/>
              <w:bottom w:val="single" w:color="auto" w:sz="2" w:space="0"/>
              <w:right w:val="single" w:color="auto" w:sz="2" w:space="0"/>
            </w:tcBorders>
            <w:vAlign w:val="center"/>
          </w:tcPr>
          <w:p>
            <w:pPr>
              <w:pStyle w:val="29"/>
              <w:jc w:val="both"/>
              <w:rPr>
                <w:rFonts w:ascii="宋体" w:eastAsia="宋体"/>
              </w:rPr>
            </w:pPr>
            <w:r>
              <w:rPr>
                <w:rFonts w:hint="eastAsia" w:ascii="宋体" w:eastAsia="宋体"/>
              </w:rPr>
              <w:t>建 筑 面 积</w:t>
            </w:r>
          </w:p>
        </w:tc>
        <w:tc>
          <w:tcPr>
            <w:tcW w:w="1155"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用 地 面 积</w:t>
            </w:r>
          </w:p>
        </w:tc>
        <w:tc>
          <w:tcPr>
            <w:tcW w:w="1155" w:type="dxa"/>
            <w:vMerge w:val="continue"/>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片区级</w:t>
            </w:r>
          </w:p>
        </w:tc>
        <w:tc>
          <w:tcPr>
            <w:tcW w:w="385"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居住区级</w:t>
            </w:r>
          </w:p>
        </w:tc>
        <w:tc>
          <w:tcPr>
            <w:tcW w:w="385"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小区级</w:t>
            </w: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36" w:type="dxa"/>
            <w:vMerge w:val="restart"/>
            <w:tcBorders>
              <w:right w:val="single" w:color="auto" w:sz="2" w:space="0"/>
            </w:tcBorders>
            <w:vAlign w:val="center"/>
          </w:tcPr>
          <w:p>
            <w:pPr>
              <w:pStyle w:val="29"/>
              <w:rPr>
                <w:rFonts w:ascii="宋体" w:eastAsia="宋体"/>
              </w:rPr>
            </w:pPr>
            <w:r>
              <w:rPr>
                <w:rFonts w:hint="eastAsia" w:ascii="宋体" w:eastAsia="宋体"/>
                <w:snapToGrid/>
              </w:rPr>
              <mc:AlternateContent>
                <mc:Choice Requires="wps">
                  <w:drawing>
                    <wp:anchor distT="0" distB="0" distL="114300" distR="114300" simplePos="0" relativeHeight="251659264" behindDoc="0" locked="0" layoutInCell="1" allowOverlap="1">
                      <wp:simplePos x="0" y="0"/>
                      <wp:positionH relativeFrom="column">
                        <wp:posOffset>-601980</wp:posOffset>
                      </wp:positionH>
                      <wp:positionV relativeFrom="paragraph">
                        <wp:posOffset>98425</wp:posOffset>
                      </wp:positionV>
                      <wp:extent cx="400050" cy="762000"/>
                      <wp:effectExtent l="0" t="1270" r="4445"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0050" cy="762000"/>
                              </a:xfrm>
                              <a:prstGeom prst="rect">
                                <a:avLst/>
                              </a:prstGeom>
                              <a:solidFill>
                                <a:srgbClr val="FFFFFF"/>
                              </a:solidFill>
                              <a:ln>
                                <a:noFill/>
                              </a:ln>
                            </wps:spPr>
                            <wps:txbx>
                              <w:txbxContent>
                                <w:p>
                                  <w:pPr>
                                    <w:rPr>
                                      <w:sz w:val="21"/>
                                    </w:rPr>
                                  </w:pPr>
                                  <w:r>
                                    <w:rPr>
                                      <w:rFonts w:hint="eastAsia"/>
                                    </w:rPr>
                                    <w:t xml:space="preserve"> </w:t>
                                  </w:r>
                                  <w:r>
                                    <w:rPr>
                                      <w:rFonts w:hint="eastAsia" w:hAnsi="宋体"/>
                                      <w:sz w:val="21"/>
                                      <w:szCs w:val="21"/>
                                    </w:rPr>
                                    <w:t xml:space="preserve">   </w:t>
                                  </w:r>
                                </w:p>
                              </w:txbxContent>
                            </wps:txbx>
                            <wps:bodyPr rot="0" vert="eaVert" wrap="square" lIns="91440" tIns="45720" rIns="91440" bIns="45720" anchor="t" anchorCtr="0" upright="1">
                              <a:noAutofit/>
                            </wps:bodyPr>
                          </wps:wsp>
                        </a:graphicData>
                      </a:graphic>
                    </wp:anchor>
                  </w:drawing>
                </mc:Choice>
                <mc:Fallback>
                  <w:pict>
                    <v:shape id="Text Box 2" o:spid="_x0000_s1026" o:spt="202" type="#_x0000_t202" style="position:absolute;left:0pt;margin-left:-47.4pt;margin-top:7.75pt;height:60pt;width:31.5pt;z-index:251659264;mso-width-relative:page;mso-height-relative:page;" fillcolor="#FFFFFF" filled="t" stroked="f" coordsize="21600,21600" o:gfxdata="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m3aO/ZAAAACgEA&#10;AA8AAAAAAAAAAQAgAAAAIgAAAGRycy9kb3ducmV2LnhtbFBLAQIUABQAAAAIAIdO4kD5Nm0DGQIA&#10;AD4EAAAOAAAAAAAAAAEAIAAAACgBAABkcnMvZTJvRG9jLnhtbFBLBQYAAAAABgAGAFkBAACzBQAA&#10;AAA=&#10;">
                      <v:fill on="t" focussize="0,0"/>
                      <v:stroke on="f"/>
                      <v:imagedata o:title=""/>
                      <o:lock v:ext="edit" aspectratio="f"/>
                      <v:textbox style="layout-flow:vertical-ideographic;">
                        <w:txbxContent>
                          <w:p>
                            <w:pPr>
                              <w:rPr>
                                <w:sz w:val="21"/>
                              </w:rPr>
                            </w:pPr>
                            <w:r>
                              <w:rPr>
                                <w:rFonts w:hint="eastAsia"/>
                              </w:rPr>
                              <w:t xml:space="preserve"> </w:t>
                            </w:r>
                            <w:r>
                              <w:rPr>
                                <w:rFonts w:hint="eastAsia" w:hAnsi="宋体"/>
                                <w:sz w:val="21"/>
                                <w:szCs w:val="21"/>
                              </w:rPr>
                              <w:t xml:space="preserve">   </w:t>
                            </w:r>
                          </w:p>
                        </w:txbxContent>
                      </v:textbox>
                    </v:shape>
                  </w:pict>
                </mc:Fallback>
              </mc:AlternateContent>
            </w:r>
            <w:r>
              <w:rPr>
                <w:rFonts w:hint="eastAsia" w:ascii="宋体" w:eastAsia="宋体"/>
              </w:rPr>
              <w:t>教</w:t>
            </w:r>
          </w:p>
          <w:p>
            <w:pPr>
              <w:pStyle w:val="29"/>
              <w:rPr>
                <w:rFonts w:ascii="宋体" w:eastAsia="宋体"/>
              </w:rPr>
            </w:pPr>
          </w:p>
          <w:p>
            <w:pPr>
              <w:pStyle w:val="29"/>
              <w:rPr>
                <w:rFonts w:ascii="宋体" w:eastAsia="宋体"/>
              </w:rPr>
            </w:pPr>
          </w:p>
          <w:p>
            <w:pPr>
              <w:pStyle w:val="29"/>
              <w:rPr>
                <w:rFonts w:ascii="宋体" w:eastAsia="宋体"/>
              </w:rPr>
            </w:pPr>
            <w:r>
              <w:rPr>
                <w:rFonts w:hint="eastAsia" w:ascii="宋体" w:eastAsia="宋体"/>
              </w:rPr>
              <w:t>育</w:t>
            </w:r>
          </w:p>
          <w:p>
            <w:pPr>
              <w:pStyle w:val="29"/>
              <w:rPr>
                <w:rFonts w:ascii="宋体" w:eastAsia="宋体"/>
              </w:rPr>
            </w:pPr>
          </w:p>
          <w:p>
            <w:pPr>
              <w:pStyle w:val="29"/>
              <w:rPr>
                <w:rFonts w:ascii="宋体" w:eastAsia="宋体"/>
              </w:rPr>
            </w:pPr>
          </w:p>
          <w:p>
            <w:pPr>
              <w:pStyle w:val="29"/>
              <w:rPr>
                <w:rFonts w:ascii="宋体" w:eastAsia="宋体"/>
              </w:rPr>
            </w:pPr>
            <w:r>
              <w:rPr>
                <w:rFonts w:hint="eastAsia" w:ascii="宋体" w:eastAsia="宋体"/>
              </w:rPr>
              <w:t>设</w:t>
            </w:r>
          </w:p>
          <w:p>
            <w:pPr>
              <w:pStyle w:val="29"/>
              <w:rPr>
                <w:rFonts w:ascii="宋体" w:eastAsia="宋体"/>
              </w:rPr>
            </w:pPr>
          </w:p>
          <w:p>
            <w:pPr>
              <w:pStyle w:val="29"/>
              <w:rPr>
                <w:rFonts w:ascii="宋体" w:eastAsia="宋体"/>
              </w:rPr>
            </w:pPr>
          </w:p>
          <w:p>
            <w:pPr>
              <w:pStyle w:val="29"/>
              <w:rPr>
                <w:rFonts w:ascii="宋体" w:eastAsia="宋体"/>
                <w:b w:val="0"/>
              </w:rPr>
            </w:pPr>
            <w:r>
              <w:rPr>
                <w:rFonts w:hint="eastAsia" w:ascii="宋体" w:eastAsia="宋体"/>
              </w:rPr>
              <w:t>施</w:t>
            </w:r>
          </w:p>
        </w:tc>
        <w:tc>
          <w:tcPr>
            <w:tcW w:w="619"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独</w:t>
            </w:r>
          </w:p>
          <w:p>
            <w:pPr>
              <w:pStyle w:val="30"/>
              <w:rPr>
                <w:rFonts w:ascii="宋体" w:eastAsia="宋体"/>
                <w:u w:val="none"/>
              </w:rPr>
            </w:pPr>
            <w:r>
              <w:rPr>
                <w:rFonts w:hint="eastAsia" w:ascii="宋体" w:eastAsia="宋体"/>
                <w:u w:val="none"/>
              </w:rPr>
              <w:t>立</w:t>
            </w:r>
          </w:p>
          <w:p>
            <w:pPr>
              <w:pStyle w:val="30"/>
              <w:rPr>
                <w:rFonts w:ascii="宋体" w:eastAsia="宋体"/>
                <w:u w:val="none"/>
              </w:rPr>
            </w:pPr>
            <w:r>
              <w:rPr>
                <w:rFonts w:hint="eastAsia" w:ascii="宋体" w:eastAsia="宋体"/>
                <w:u w:val="none"/>
              </w:rPr>
              <w:t>高</w:t>
            </w:r>
          </w:p>
          <w:p>
            <w:pPr>
              <w:pStyle w:val="30"/>
              <w:rPr>
                <w:rFonts w:ascii="宋体" w:eastAsia="宋体"/>
                <w:u w:val="none"/>
              </w:rPr>
            </w:pPr>
            <w:r>
              <w:rPr>
                <w:rFonts w:hint="eastAsia" w:ascii="宋体" w:eastAsia="宋体"/>
                <w:u w:val="none"/>
              </w:rPr>
              <w:t>中</w:t>
            </w: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24班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12000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24000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3～4</w:t>
            </w:r>
          </w:p>
        </w:tc>
        <w:tc>
          <w:tcPr>
            <w:tcW w:w="2205"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 xml:space="preserve">按生均标准设置，用地面积20～22 </w:t>
            </w:r>
            <w:r>
              <w:rPr>
                <w:rFonts w:hint="eastAsia" w:ascii="宋体" w:eastAsia="宋体" w:cs="宋体"/>
                <w:u w:val="none"/>
              </w:rPr>
              <w:t>㎡</w:t>
            </w:r>
            <w:r>
              <w:rPr>
                <w:rFonts w:hint="eastAsia" w:ascii="宋体" w:eastAsia="宋体"/>
                <w:u w:val="none"/>
              </w:rPr>
              <w:t xml:space="preserve">/生，建筑面积8.5～10 </w:t>
            </w:r>
            <w:r>
              <w:rPr>
                <w:rFonts w:hint="eastAsia" w:ascii="宋体" w:eastAsia="宋体" w:cs="宋体"/>
                <w:u w:val="none"/>
              </w:rPr>
              <w:t>㎡</w:t>
            </w:r>
            <w:r>
              <w:rPr>
                <w:rFonts w:hint="eastAsia" w:ascii="宋体" w:eastAsia="宋体"/>
                <w:u w:val="none"/>
              </w:rPr>
              <w:t>/生（含住宿生的校区，建筑面积按10.5～12</w:t>
            </w:r>
            <w:r>
              <w:rPr>
                <w:rFonts w:hint="eastAsia" w:ascii="宋体" w:eastAsia="宋体" w:cs="宋体"/>
                <w:u w:val="none"/>
              </w:rPr>
              <w:t>㎡</w:t>
            </w:r>
            <w:r>
              <w:rPr>
                <w:rFonts w:hint="eastAsia" w:ascii="宋体" w:eastAsia="宋体"/>
                <w:u w:val="none"/>
              </w:rPr>
              <w:t>/住宿生）。</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restart"/>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学校用地不得与市场、医院太平间、易燃易爆危险品仓库、加油站为邻；不宜设置在城乡主、次干路旁。</w:t>
            </w:r>
          </w:p>
          <w:p>
            <w:pPr>
              <w:pStyle w:val="30"/>
              <w:ind w:firstLine="360" w:firstLineChars="200"/>
              <w:jc w:val="both"/>
              <w:rPr>
                <w:rFonts w:ascii="宋体" w:eastAsia="宋体"/>
                <w:u w:val="none"/>
              </w:rPr>
            </w:pPr>
            <w:r>
              <w:rPr>
                <w:rFonts w:hint="eastAsia" w:ascii="宋体" w:eastAsia="宋体"/>
                <w:u w:val="none"/>
              </w:rPr>
              <w:t>中学按每班50生设置。</w:t>
            </w:r>
          </w:p>
          <w:p>
            <w:pPr>
              <w:pStyle w:val="30"/>
              <w:ind w:firstLine="360" w:firstLineChars="200"/>
              <w:jc w:val="both"/>
              <w:rPr>
                <w:rFonts w:ascii="宋体" w:eastAsia="宋体"/>
                <w:u w:val="none"/>
              </w:rPr>
            </w:pPr>
            <w:r>
              <w:rPr>
                <w:rFonts w:hint="eastAsia" w:ascii="宋体" w:eastAsia="宋体"/>
                <w:u w:val="none"/>
              </w:rPr>
              <w:t>高级中学应在区域统筹安排。独立高中应为36班以上规模，居住人口不足时允许设30班或24班高中。初级中学应为24班以上规模，旧城区改造项目用地紧张时允许设18班初中作为下限。完全中学（设高中、初中）应达36班以上规模，旧城区改造项目用地紧张时允许设30班完全中学作为下限。</w:t>
            </w:r>
          </w:p>
          <w:p>
            <w:pPr>
              <w:pStyle w:val="30"/>
              <w:ind w:firstLine="360" w:firstLineChars="200"/>
              <w:jc w:val="both"/>
              <w:rPr>
                <w:rFonts w:ascii="宋体" w:eastAsia="宋体"/>
                <w:u w:val="none"/>
              </w:rPr>
            </w:pPr>
            <w:r>
              <w:rPr>
                <w:rFonts w:hint="eastAsia" w:ascii="宋体" w:eastAsia="宋体"/>
                <w:u w:val="none"/>
              </w:rPr>
              <w:t>中学运动场地不宜小于3.3 ㎡/生，一般设田径运动场（环行跑道250-400米）及100m直跑道二组；每六个班应有一个篮球场或排球场。中学绿化用地不应小于1㎡/生。</w:t>
            </w:r>
          </w:p>
          <w:p>
            <w:pPr>
              <w:pStyle w:val="30"/>
              <w:ind w:firstLine="360" w:firstLineChars="200"/>
              <w:jc w:val="both"/>
              <w:rPr>
                <w:rFonts w:ascii="宋体" w:eastAsia="宋体"/>
                <w:u w:val="none"/>
              </w:rPr>
            </w:pPr>
            <w:r>
              <w:rPr>
                <w:rFonts w:hint="eastAsia" w:ascii="宋体" w:eastAsia="宋体"/>
                <w:u w:val="none"/>
              </w:rPr>
              <w:t>中学教学楼不应超过五层。两排教室的长边相对时，其间距不应小于25m，教室的长边与运动场地的间距不应小于25m，其日照间距系数按照相关规定执行。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15000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4～5</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18000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5～6</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36" w:type="dxa"/>
            <w:vMerge w:val="continue"/>
            <w:tcBorders>
              <w:right w:val="single" w:color="auto" w:sz="2" w:space="0"/>
            </w:tcBorders>
            <w:vAlign w:val="center"/>
          </w:tcPr>
          <w:p>
            <w:pPr>
              <w:pStyle w:val="29"/>
              <w:rPr>
                <w:rFonts w:ascii="宋体" w:eastAsia="宋体"/>
              </w:rPr>
            </w:pPr>
          </w:p>
        </w:tc>
        <w:tc>
          <w:tcPr>
            <w:tcW w:w="619"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独</w:t>
            </w:r>
          </w:p>
          <w:p>
            <w:pPr>
              <w:pStyle w:val="30"/>
              <w:rPr>
                <w:rFonts w:ascii="宋体" w:eastAsia="宋体"/>
                <w:u w:val="none"/>
              </w:rPr>
            </w:pPr>
            <w:r>
              <w:rPr>
                <w:rFonts w:hint="eastAsia" w:ascii="宋体" w:eastAsia="宋体"/>
                <w:u w:val="none"/>
              </w:rPr>
              <w:t>立</w:t>
            </w:r>
          </w:p>
          <w:p>
            <w:pPr>
              <w:pStyle w:val="30"/>
              <w:rPr>
                <w:rFonts w:ascii="宋体" w:eastAsia="宋体"/>
                <w:u w:val="none"/>
              </w:rPr>
            </w:pPr>
            <w:r>
              <w:rPr>
                <w:rFonts w:hint="eastAsia" w:ascii="宋体" w:eastAsia="宋体"/>
                <w:u w:val="none"/>
              </w:rPr>
              <w:t>初</w:t>
            </w:r>
          </w:p>
          <w:p>
            <w:pPr>
              <w:pStyle w:val="30"/>
              <w:rPr>
                <w:rFonts w:ascii="宋体" w:eastAsia="宋体"/>
                <w:u w:val="none"/>
              </w:rPr>
            </w:pPr>
            <w:r>
              <w:rPr>
                <w:rFonts w:hint="eastAsia" w:ascii="宋体" w:eastAsia="宋体"/>
                <w:u w:val="none"/>
              </w:rPr>
              <w:t>中</w:t>
            </w: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18班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9500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71</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2.3～3</w:t>
            </w:r>
          </w:p>
        </w:tc>
        <w:tc>
          <w:tcPr>
            <w:tcW w:w="2205"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按生均标准设置，用地面积19</w:t>
            </w:r>
            <w:r>
              <w:rPr>
                <w:rFonts w:hint="eastAsia" w:ascii="宋体" w:eastAsia="宋体" w:cs="宋体"/>
                <w:u w:val="none"/>
              </w:rPr>
              <w:t>㎡</w:t>
            </w:r>
            <w:r>
              <w:rPr>
                <w:rFonts w:hint="eastAsia" w:ascii="宋体" w:eastAsia="宋体"/>
                <w:u w:val="none"/>
              </w:rPr>
              <w:t>/生，建筑面积10.5～11</w:t>
            </w:r>
            <w:r>
              <w:rPr>
                <w:rFonts w:hint="eastAsia" w:ascii="宋体" w:eastAsia="宋体" w:cs="宋体"/>
                <w:u w:val="none"/>
              </w:rPr>
              <w:t>㎡</w:t>
            </w:r>
            <w:r>
              <w:rPr>
                <w:rFonts w:hint="eastAsia" w:ascii="宋体" w:eastAsia="宋体"/>
                <w:u w:val="none"/>
              </w:rPr>
              <w:t>/生。</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24班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12000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22</w:t>
            </w:r>
            <w:r>
              <w:rPr>
                <w:rFonts w:ascii="宋体" w:eastAsia="宋体"/>
                <w:u w:val="none"/>
              </w:rPr>
              <w:t>8</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3～4</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15000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w:t>
            </w:r>
            <w:r>
              <w:rPr>
                <w:rFonts w:ascii="宋体" w:eastAsia="宋体"/>
                <w:u w:val="none"/>
              </w:rPr>
              <w:t>85</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4～5</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完</w:t>
            </w:r>
          </w:p>
          <w:p>
            <w:pPr>
              <w:pStyle w:val="30"/>
              <w:rPr>
                <w:rFonts w:ascii="宋体" w:eastAsia="宋体"/>
                <w:u w:val="none"/>
              </w:rPr>
            </w:pPr>
            <w:r>
              <w:rPr>
                <w:rFonts w:hint="eastAsia" w:ascii="宋体" w:eastAsia="宋体"/>
                <w:u w:val="none"/>
              </w:rPr>
              <w:t>全</w:t>
            </w:r>
          </w:p>
          <w:p>
            <w:pPr>
              <w:pStyle w:val="30"/>
              <w:rPr>
                <w:rFonts w:ascii="宋体" w:eastAsia="宋体"/>
                <w:u w:val="none"/>
              </w:rPr>
            </w:pPr>
            <w:r>
              <w:rPr>
                <w:rFonts w:hint="eastAsia" w:ascii="宋体" w:eastAsia="宋体"/>
                <w:u w:val="none"/>
              </w:rPr>
              <w:t>中</w:t>
            </w:r>
          </w:p>
          <w:p>
            <w:pPr>
              <w:pStyle w:val="30"/>
              <w:rPr>
                <w:rFonts w:ascii="宋体" w:eastAsia="宋体"/>
                <w:u w:val="none"/>
              </w:rPr>
            </w:pPr>
            <w:r>
              <w:rPr>
                <w:rFonts w:hint="eastAsia" w:ascii="宋体" w:eastAsia="宋体"/>
                <w:u w:val="none"/>
              </w:rPr>
              <w:t>学</w:t>
            </w: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15000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1.5～2.3</w:t>
            </w:r>
          </w:p>
        </w:tc>
        <w:tc>
          <w:tcPr>
            <w:tcW w:w="2205"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 xml:space="preserve">按生均标准设置，用地面积20 </w:t>
            </w:r>
            <w:r>
              <w:rPr>
                <w:rFonts w:hint="eastAsia" w:ascii="宋体" w:eastAsia="宋体" w:cs="宋体"/>
                <w:u w:val="none"/>
              </w:rPr>
              <w:t>㎡</w:t>
            </w:r>
            <w:r>
              <w:rPr>
                <w:rFonts w:hint="eastAsia" w:ascii="宋体" w:eastAsia="宋体"/>
                <w:u w:val="none"/>
              </w:rPr>
              <w:t xml:space="preserve">/生， 建筑面积8 </w:t>
            </w:r>
            <w:r>
              <w:rPr>
                <w:rFonts w:hint="eastAsia" w:ascii="宋体" w:eastAsia="宋体" w:cs="宋体"/>
                <w:u w:val="none"/>
              </w:rPr>
              <w:t>㎡</w:t>
            </w:r>
            <w:r>
              <w:rPr>
                <w:rFonts w:hint="eastAsia" w:ascii="宋体" w:eastAsia="宋体"/>
                <w:u w:val="none"/>
              </w:rPr>
              <w:t>/生（含住宿生校区，建筑面积按10</w:t>
            </w:r>
            <w:r>
              <w:rPr>
                <w:rFonts w:hint="eastAsia" w:ascii="宋体" w:eastAsia="宋体" w:cs="宋体"/>
                <w:u w:val="none"/>
              </w:rPr>
              <w:t>㎡</w:t>
            </w:r>
            <w:r>
              <w:rPr>
                <w:rFonts w:hint="eastAsia" w:ascii="宋体" w:eastAsia="宋体"/>
                <w:u w:val="none"/>
              </w:rPr>
              <w:t>/住宿生）。</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18000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2.3～3</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48班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24000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48000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3～4</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九年制学  校</w:t>
            </w: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5</w:t>
            </w:r>
            <w:r>
              <w:rPr>
                <w:rFonts w:hint="eastAsia" w:ascii="宋体" w:eastAsia="宋体"/>
                <w:u w:val="none"/>
              </w:rPr>
              <w:t>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w:t>
            </w:r>
            <w:r>
              <w:rPr>
                <w:rFonts w:ascii="宋体" w:eastAsia="宋体"/>
                <w:u w:val="none"/>
              </w:rPr>
              <w:t>8</w:t>
            </w:r>
            <w:r>
              <w:rPr>
                <w:rFonts w:hint="eastAsia" w:ascii="宋体" w:eastAsia="宋体"/>
                <w:u w:val="none"/>
              </w:rPr>
              <w:t>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1.3～1.6</w:t>
            </w:r>
          </w:p>
        </w:tc>
        <w:tc>
          <w:tcPr>
            <w:tcW w:w="2205"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每班小学45生，初中50生。用地面积1</w:t>
            </w:r>
            <w:r>
              <w:rPr>
                <w:rFonts w:ascii="宋体" w:eastAsia="宋体"/>
                <w:u w:val="none"/>
              </w:rPr>
              <w:t>7</w:t>
            </w:r>
            <w:r>
              <w:rPr>
                <w:rFonts w:hint="eastAsia" w:ascii="宋体" w:eastAsia="宋体"/>
                <w:u w:val="none"/>
              </w:rPr>
              <w:t xml:space="preserve"> </w:t>
            </w:r>
            <w:r>
              <w:rPr>
                <w:rFonts w:hint="eastAsia" w:ascii="宋体" w:eastAsia="宋体" w:cs="宋体"/>
                <w:u w:val="none"/>
              </w:rPr>
              <w:t>㎡</w:t>
            </w:r>
            <w:r>
              <w:rPr>
                <w:rFonts w:hint="eastAsia" w:ascii="宋体" w:eastAsia="宋体"/>
                <w:u w:val="none"/>
              </w:rPr>
              <w:t>/生，建筑面积8</w:t>
            </w:r>
            <w:r>
              <w:rPr>
                <w:rFonts w:hint="eastAsia" w:ascii="宋体" w:eastAsia="宋体" w:cs="宋体"/>
                <w:u w:val="none"/>
              </w:rPr>
              <w:t>㎡</w:t>
            </w:r>
            <w:r>
              <w:rPr>
                <w:rFonts w:hint="eastAsia" w:ascii="宋体" w:eastAsia="宋体"/>
                <w:u w:val="none"/>
              </w:rPr>
              <w:t xml:space="preserve">/生。 </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040" w:type="dxa"/>
            <w:vMerge w:val="restart"/>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规模应36班以上。运动场地小学部分不小于2.3 ㎡/生，中学部分不宜小于3.3 ㎡/生。两排教室长边相对时，其间距不应小于25m，教室长边与运动场地的间距不小于25m。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5"/>
              <w:spacing w:line="300" w:lineRule="exact"/>
              <w:rPr>
                <w:rFonts w:ascii="宋体" w:hAnsi="宋体" w:eastAsia="宋体" w:cs="Times New Roman"/>
                <w:spacing w:val="-6"/>
                <w:sz w:val="18"/>
                <w:szCs w:val="18"/>
              </w:rPr>
            </w:pPr>
            <w:r>
              <w:rPr>
                <w:rFonts w:hint="eastAsia" w:ascii="宋体" w:hAnsi="宋体" w:eastAsia="宋体" w:cs="Times New Roman"/>
                <w:spacing w:val="-6"/>
                <w:sz w:val="18"/>
                <w:szCs w:val="18"/>
              </w:rPr>
              <w:t>45班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70</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w:t>
            </w:r>
            <w:r>
              <w:rPr>
                <w:rFonts w:ascii="宋体" w:eastAsia="宋体"/>
                <w:u w:val="none"/>
              </w:rPr>
              <w:t>5</w:t>
            </w:r>
            <w:r>
              <w:rPr>
                <w:rFonts w:hint="eastAsia" w:ascii="宋体" w:eastAsia="宋体"/>
                <w:u w:val="none"/>
              </w:rPr>
              <w:t>000</w:t>
            </w:r>
          </w:p>
        </w:tc>
        <w:tc>
          <w:tcPr>
            <w:tcW w:w="1155" w:type="dxa"/>
            <w:tcBorders>
              <w:top w:val="single" w:color="auto" w:sz="2" w:space="0"/>
              <w:left w:val="single" w:color="auto" w:sz="2" w:space="0"/>
              <w:bottom w:val="single" w:color="auto" w:sz="4" w:space="0"/>
              <w:right w:val="single" w:color="auto" w:sz="2" w:space="0"/>
            </w:tcBorders>
            <w:vAlign w:val="center"/>
          </w:tcPr>
          <w:p>
            <w:pPr>
              <w:pStyle w:val="5"/>
              <w:spacing w:line="300" w:lineRule="exact"/>
              <w:ind w:firstLine="84" w:firstLineChars="50"/>
              <w:jc w:val="center"/>
              <w:rPr>
                <w:rFonts w:ascii="宋体" w:hAnsi="宋体" w:eastAsia="宋体" w:cs="Times New Roman"/>
                <w:spacing w:val="-6"/>
                <w:sz w:val="18"/>
                <w:szCs w:val="18"/>
              </w:rPr>
            </w:pPr>
            <w:r>
              <w:rPr>
                <w:rFonts w:hint="eastAsia" w:ascii="宋体" w:hAnsi="宋体" w:eastAsia="宋体" w:cs="Times New Roman"/>
                <w:spacing w:val="-6"/>
                <w:sz w:val="18"/>
                <w:szCs w:val="18"/>
              </w:rPr>
              <w:t>1.6～1.9</w:t>
            </w:r>
          </w:p>
        </w:tc>
        <w:tc>
          <w:tcPr>
            <w:tcW w:w="2205" w:type="dxa"/>
            <w:vMerge w:val="continue"/>
            <w:tcBorders>
              <w:top w:val="single" w:color="auto" w:sz="2" w:space="0"/>
              <w:left w:val="single" w:color="auto" w:sz="2" w:space="0"/>
              <w:bottom w:val="single" w:color="auto" w:sz="4"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restart"/>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小</w:t>
            </w:r>
          </w:p>
          <w:p>
            <w:pPr>
              <w:pStyle w:val="30"/>
              <w:rPr>
                <w:rFonts w:ascii="宋体" w:eastAsia="宋体"/>
                <w:u w:val="none"/>
              </w:rPr>
            </w:pPr>
            <w:r>
              <w:rPr>
                <w:rFonts w:hint="eastAsia" w:ascii="宋体" w:eastAsia="宋体"/>
                <w:u w:val="none"/>
              </w:rPr>
              <w:t>学</w:t>
            </w:r>
          </w:p>
        </w:tc>
        <w:tc>
          <w:tcPr>
            <w:tcW w:w="630" w:type="dxa"/>
            <w:tcBorders>
              <w:top w:val="single" w:color="auto" w:sz="2" w:space="0"/>
              <w:left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18班</w:t>
            </w:r>
          </w:p>
        </w:tc>
        <w:tc>
          <w:tcPr>
            <w:tcW w:w="1155" w:type="dxa"/>
            <w:tcBorders>
              <w:top w:val="single" w:color="auto" w:sz="2" w:space="0"/>
              <w:left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6</w:t>
            </w:r>
            <w:r>
              <w:rPr>
                <w:rFonts w:ascii="宋体" w:eastAsia="宋体"/>
                <w:u w:val="none"/>
              </w:rPr>
              <w:t>5</w:t>
            </w:r>
            <w:r>
              <w:rPr>
                <w:rFonts w:hint="eastAsia" w:ascii="宋体" w:eastAsia="宋体"/>
                <w:u w:val="none"/>
              </w:rPr>
              <w:t xml:space="preserve">00 </w:t>
            </w:r>
          </w:p>
        </w:tc>
        <w:tc>
          <w:tcPr>
            <w:tcW w:w="1155" w:type="dxa"/>
            <w:tcBorders>
              <w:top w:val="single" w:color="auto" w:sz="2" w:space="0"/>
              <w:left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30</w:t>
            </w:r>
            <w:r>
              <w:rPr>
                <w:rFonts w:hint="eastAsia" w:ascii="宋体" w:eastAsia="宋体"/>
                <w:u w:val="none"/>
              </w:rPr>
              <w:t>00</w:t>
            </w:r>
          </w:p>
        </w:tc>
        <w:tc>
          <w:tcPr>
            <w:tcW w:w="1155" w:type="dxa"/>
            <w:tcBorders>
              <w:top w:val="single" w:color="auto" w:sz="2" w:space="0"/>
              <w:left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1～1.3</w:t>
            </w:r>
          </w:p>
        </w:tc>
        <w:tc>
          <w:tcPr>
            <w:tcW w:w="2205" w:type="dxa"/>
            <w:vMerge w:val="restart"/>
            <w:tcBorders>
              <w:top w:val="single" w:color="auto" w:sz="2" w:space="0"/>
              <w:left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每班45生。</w:t>
            </w:r>
          </w:p>
          <w:p>
            <w:pPr>
              <w:pStyle w:val="30"/>
              <w:jc w:val="both"/>
              <w:rPr>
                <w:rFonts w:ascii="宋体" w:eastAsia="宋体"/>
                <w:u w:val="none"/>
              </w:rPr>
            </w:pPr>
            <w:r>
              <w:rPr>
                <w:rFonts w:hint="eastAsia" w:ascii="宋体" w:eastAsia="宋体"/>
                <w:u w:val="none"/>
              </w:rPr>
              <w:t xml:space="preserve">按生均标准设置，用地面积为16 </w:t>
            </w:r>
            <w:r>
              <w:rPr>
                <w:rFonts w:hint="eastAsia" w:ascii="宋体" w:eastAsia="宋体" w:cs="宋体"/>
                <w:u w:val="none"/>
              </w:rPr>
              <w:t>㎡</w:t>
            </w:r>
            <w:r>
              <w:rPr>
                <w:rFonts w:hint="eastAsia" w:ascii="宋体" w:eastAsia="宋体"/>
                <w:u w:val="none"/>
              </w:rPr>
              <w:t>/生，建筑面积</w:t>
            </w:r>
            <w:r>
              <w:rPr>
                <w:rFonts w:ascii="宋体" w:eastAsia="宋体"/>
                <w:u w:val="none"/>
              </w:rPr>
              <w:t>7</w:t>
            </w:r>
            <w:r>
              <w:rPr>
                <w:rFonts w:hint="eastAsia" w:ascii="宋体" w:eastAsia="宋体"/>
                <w:u w:val="none"/>
              </w:rPr>
              <w:t>.5～</w:t>
            </w:r>
            <w:r>
              <w:rPr>
                <w:rFonts w:ascii="宋体" w:eastAsia="宋体"/>
                <w:u w:val="none"/>
              </w:rPr>
              <w:t>9</w:t>
            </w:r>
            <w:r>
              <w:rPr>
                <w:rFonts w:hint="eastAsia" w:ascii="宋体" w:eastAsia="宋体"/>
                <w:u w:val="none"/>
              </w:rPr>
              <w:t xml:space="preserve">.5 </w:t>
            </w:r>
            <w:r>
              <w:rPr>
                <w:rFonts w:hint="eastAsia" w:ascii="宋体" w:eastAsia="宋体" w:cs="宋体"/>
                <w:u w:val="none"/>
              </w:rPr>
              <w:t>㎡</w:t>
            </w:r>
            <w:r>
              <w:rPr>
                <w:rFonts w:hint="eastAsia" w:ascii="宋体" w:eastAsia="宋体"/>
                <w:u w:val="none"/>
              </w:rPr>
              <w:t xml:space="preserve">/生。 </w:t>
            </w:r>
          </w:p>
        </w:tc>
        <w:tc>
          <w:tcPr>
            <w:tcW w:w="385" w:type="dxa"/>
            <w:vMerge w:val="restart"/>
            <w:tcBorders>
              <w:top w:val="single" w:color="auto" w:sz="2" w:space="0"/>
              <w:left w:val="single" w:color="auto" w:sz="2" w:space="0"/>
              <w:right w:val="single" w:color="auto" w:sz="2" w:space="0"/>
            </w:tcBorders>
            <w:vAlign w:val="center"/>
          </w:tcPr>
          <w:p>
            <w:pPr>
              <w:pStyle w:val="30"/>
              <w:rPr>
                <w:rFonts w:ascii="宋体" w:eastAsia="宋体"/>
                <w:u w:val="none"/>
              </w:rPr>
            </w:pPr>
          </w:p>
        </w:tc>
        <w:tc>
          <w:tcPr>
            <w:tcW w:w="385" w:type="dxa"/>
            <w:vMerge w:val="restart"/>
            <w:tcBorders>
              <w:top w:val="single" w:color="auto" w:sz="2" w:space="0"/>
              <w:left w:val="single" w:color="auto" w:sz="2" w:space="0"/>
              <w:right w:val="single" w:color="auto" w:sz="2" w:space="0"/>
            </w:tcBorders>
          </w:tcPr>
          <w:p>
            <w:pPr>
              <w:pStyle w:val="30"/>
              <w:rPr>
                <w:rFonts w:ascii="宋体" w:eastAsia="宋体"/>
                <w:u w:val="none"/>
              </w:rPr>
            </w:pPr>
          </w:p>
        </w:tc>
        <w:tc>
          <w:tcPr>
            <w:tcW w:w="385" w:type="dxa"/>
            <w:vMerge w:val="restart"/>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040" w:type="dxa"/>
            <w:vMerge w:val="restart"/>
            <w:tcBorders>
              <w:top w:val="single" w:color="auto" w:sz="2" w:space="0"/>
              <w:left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居住小区应设18班以上的小学。小学不宜与市场、公共娱乐场所、医院太平间等相邻。小学运动场地不宜小于2.3 ㎡/生，一般设200米环形跑道的田径场，不应少于一组60米直跑道。小学绿化用地不应小于0.5 ㎡/生。</w:t>
            </w:r>
          </w:p>
          <w:p>
            <w:pPr>
              <w:pStyle w:val="30"/>
              <w:ind w:firstLine="360" w:firstLineChars="200"/>
              <w:jc w:val="both"/>
              <w:rPr>
                <w:rFonts w:ascii="宋体" w:eastAsia="宋体"/>
                <w:u w:val="none"/>
              </w:rPr>
            </w:pPr>
            <w:r>
              <w:rPr>
                <w:rFonts w:hint="eastAsia" w:ascii="宋体" w:eastAsia="宋体"/>
                <w:u w:val="none"/>
              </w:rPr>
              <w:t>小学教学楼不应超过四层，两排教室长边相对时，其间距不应小于25m，教室的长边与运动场地的间距不应小于25m，其日照间距系数按照相关规定执行。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left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24班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8</w:t>
            </w:r>
            <w:r>
              <w:rPr>
                <w:rFonts w:ascii="宋体" w:eastAsia="宋体"/>
                <w:u w:val="none"/>
              </w:rPr>
              <w:t>2</w:t>
            </w:r>
            <w:r>
              <w:rPr>
                <w:rFonts w:hint="eastAsia" w:ascii="宋体" w:eastAsia="宋体"/>
                <w:u w:val="none"/>
              </w:rPr>
              <w:t xml:space="preserve">00 </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73</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1.3～1.6</w:t>
            </w:r>
          </w:p>
        </w:tc>
        <w:tc>
          <w:tcPr>
            <w:tcW w:w="220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5040" w:type="dxa"/>
            <w:vMerge w:val="continue"/>
            <w:tcBorders>
              <w:left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left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4"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ascii="宋体" w:eastAsia="宋体"/>
                <w:u w:val="none"/>
              </w:rPr>
              <w:t>102</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w:t>
            </w:r>
            <w:r>
              <w:rPr>
                <w:rFonts w:ascii="宋体" w:eastAsia="宋体"/>
                <w:u w:val="none"/>
              </w:rPr>
              <w:t>16</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5"/>
              <w:spacing w:line="300" w:lineRule="exact"/>
              <w:ind w:firstLine="84" w:firstLineChars="50"/>
              <w:jc w:val="center"/>
              <w:rPr>
                <w:rFonts w:ascii="宋体" w:hAnsi="宋体" w:eastAsia="宋体" w:cs="Times New Roman"/>
                <w:spacing w:val="-6"/>
                <w:sz w:val="18"/>
                <w:szCs w:val="18"/>
              </w:rPr>
            </w:pPr>
            <w:r>
              <w:rPr>
                <w:rFonts w:hint="eastAsia" w:ascii="宋体" w:hAnsi="宋体" w:eastAsia="宋体" w:cs="Times New Roman"/>
                <w:spacing w:val="-6"/>
                <w:sz w:val="18"/>
                <w:szCs w:val="18"/>
              </w:rPr>
              <w:t>1.6～1.9</w:t>
            </w:r>
          </w:p>
        </w:tc>
        <w:tc>
          <w:tcPr>
            <w:tcW w:w="220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5040" w:type="dxa"/>
            <w:vMerge w:val="continue"/>
            <w:tcBorders>
              <w:left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4"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2</w:t>
            </w:r>
            <w:r>
              <w:rPr>
                <w:rFonts w:hint="eastAsia" w:ascii="宋体" w:eastAsia="宋体"/>
                <w:u w:val="none"/>
              </w:rPr>
              <w:t>500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w:t>
            </w:r>
            <w:r>
              <w:rPr>
                <w:rFonts w:ascii="宋体" w:eastAsia="宋体"/>
                <w:u w:val="none"/>
              </w:rPr>
              <w:t>6</w:t>
            </w:r>
            <w:r>
              <w:rPr>
                <w:rFonts w:hint="eastAsia" w:ascii="宋体" w:eastAsia="宋体"/>
                <w:u w:val="none"/>
              </w:rPr>
              <w:t>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ascii="宋体" w:eastAsia="宋体"/>
                <w:u w:val="none"/>
              </w:rPr>
              <w:t>2.0</w:t>
            </w:r>
            <w:r>
              <w:rPr>
                <w:rFonts w:hint="eastAsia" w:ascii="宋体" w:eastAsia="宋体"/>
                <w:u w:val="none"/>
              </w:rPr>
              <w:t>～2.</w:t>
            </w:r>
            <w:r>
              <w:rPr>
                <w:rFonts w:ascii="宋体" w:eastAsia="宋体"/>
                <w:u w:val="none"/>
              </w:rPr>
              <w:t>3</w:t>
            </w:r>
          </w:p>
        </w:tc>
        <w:tc>
          <w:tcPr>
            <w:tcW w:w="2205"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r>
    </w:tbl>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居住用地公共服务设施设置标准（续表）</w:t>
      </w:r>
    </w:p>
    <w:tbl>
      <w:tblPr>
        <w:tblStyle w:val="18"/>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17"/>
        <w:gridCol w:w="726"/>
        <w:gridCol w:w="1261"/>
        <w:gridCol w:w="1218"/>
        <w:gridCol w:w="1124"/>
        <w:gridCol w:w="1874"/>
        <w:gridCol w:w="385"/>
        <w:gridCol w:w="385"/>
        <w:gridCol w:w="385"/>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blHeader/>
        </w:trPr>
        <w:tc>
          <w:tcPr>
            <w:tcW w:w="535" w:type="dxa"/>
            <w:vMerge w:val="restart"/>
            <w:tcBorders>
              <w:right w:val="single" w:color="auto" w:sz="2" w:space="0"/>
            </w:tcBorders>
            <w:vAlign w:val="center"/>
          </w:tcPr>
          <w:p>
            <w:pPr>
              <w:pStyle w:val="29"/>
              <w:rPr>
                <w:rFonts w:ascii="宋体" w:eastAsia="宋体"/>
              </w:rPr>
            </w:pPr>
            <w:r>
              <w:rPr>
                <w:rFonts w:hint="eastAsia" w:ascii="宋体" w:eastAsia="宋体"/>
              </w:rPr>
              <w:t>类</w:t>
            </w:r>
          </w:p>
          <w:p>
            <w:pPr>
              <w:pStyle w:val="29"/>
              <w:rPr>
                <w:rFonts w:ascii="宋体" w:eastAsia="宋体"/>
              </w:rPr>
            </w:pPr>
          </w:p>
          <w:p>
            <w:pPr>
              <w:pStyle w:val="29"/>
              <w:rPr>
                <w:rFonts w:ascii="宋体" w:eastAsia="宋体"/>
              </w:rPr>
            </w:pPr>
            <w:r>
              <w:rPr>
                <w:rFonts w:hint="eastAsia" w:ascii="宋体" w:eastAsia="宋体"/>
              </w:rPr>
              <w:t>别</w:t>
            </w:r>
          </w:p>
        </w:tc>
        <w:tc>
          <w:tcPr>
            <w:tcW w:w="1443" w:type="dxa"/>
            <w:gridSpan w:val="2"/>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项 目 名 称</w:t>
            </w:r>
          </w:p>
        </w:tc>
        <w:tc>
          <w:tcPr>
            <w:tcW w:w="2479" w:type="dxa"/>
            <w:gridSpan w:val="2"/>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一般规模（m²/处）</w:t>
            </w:r>
          </w:p>
        </w:tc>
        <w:tc>
          <w:tcPr>
            <w:tcW w:w="1124"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服务规模</w:t>
            </w:r>
          </w:p>
          <w:p>
            <w:pPr>
              <w:pStyle w:val="29"/>
              <w:rPr>
                <w:rFonts w:ascii="宋体" w:eastAsia="宋体"/>
              </w:rPr>
            </w:pPr>
            <w:r>
              <w:rPr>
                <w:rFonts w:hint="eastAsia" w:ascii="宋体" w:eastAsia="宋体"/>
              </w:rPr>
              <w:t>（万人）</w:t>
            </w:r>
          </w:p>
        </w:tc>
        <w:tc>
          <w:tcPr>
            <w:tcW w:w="1874"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规 定</w:t>
            </w:r>
          </w:p>
        </w:tc>
        <w:tc>
          <w:tcPr>
            <w:tcW w:w="1155" w:type="dxa"/>
            <w:gridSpan w:val="3"/>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级 别</w:t>
            </w:r>
          </w:p>
        </w:tc>
        <w:tc>
          <w:tcPr>
            <w:tcW w:w="5070"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blHeader/>
        </w:trPr>
        <w:tc>
          <w:tcPr>
            <w:tcW w:w="535" w:type="dxa"/>
            <w:vMerge w:val="continue"/>
            <w:tcBorders>
              <w:right w:val="single" w:color="auto" w:sz="2" w:space="0"/>
            </w:tcBorders>
            <w:vAlign w:val="center"/>
          </w:tcPr>
          <w:p>
            <w:pPr>
              <w:pStyle w:val="29"/>
              <w:rPr>
                <w:rFonts w:ascii="宋体" w:eastAsia="宋体"/>
              </w:rPr>
            </w:pPr>
          </w:p>
        </w:tc>
        <w:tc>
          <w:tcPr>
            <w:tcW w:w="1443" w:type="dxa"/>
            <w:gridSpan w:val="2"/>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261"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建 筑 面 积</w:t>
            </w:r>
          </w:p>
        </w:tc>
        <w:tc>
          <w:tcPr>
            <w:tcW w:w="1218"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用 地 面 积</w:t>
            </w:r>
          </w:p>
        </w:tc>
        <w:tc>
          <w:tcPr>
            <w:tcW w:w="1124"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874"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385"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片区级</w:t>
            </w:r>
          </w:p>
        </w:tc>
        <w:tc>
          <w:tcPr>
            <w:tcW w:w="385"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居住区级</w:t>
            </w:r>
          </w:p>
        </w:tc>
        <w:tc>
          <w:tcPr>
            <w:tcW w:w="385"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小区级</w:t>
            </w:r>
          </w:p>
        </w:tc>
        <w:tc>
          <w:tcPr>
            <w:tcW w:w="5070"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35" w:type="dxa"/>
            <w:vMerge w:val="restart"/>
            <w:tcBorders>
              <w:top w:val="single" w:color="auto" w:sz="4" w:space="0"/>
              <w:right w:val="single" w:color="auto" w:sz="2" w:space="0"/>
            </w:tcBorders>
            <w:vAlign w:val="center"/>
          </w:tcPr>
          <w:p>
            <w:pPr>
              <w:pStyle w:val="30"/>
              <w:rPr>
                <w:rFonts w:ascii="宋体" w:eastAsia="宋体"/>
                <w:u w:val="none"/>
              </w:rPr>
            </w:pPr>
            <w:r>
              <w:rPr>
                <w:rFonts w:hint="eastAsia" w:ascii="宋体" w:eastAsia="宋体"/>
                <w:snapToGrid/>
                <w:u w:val="none"/>
              </w:rPr>
              <mc:AlternateContent>
                <mc:Choice Requires="wps">
                  <w:drawing>
                    <wp:anchor distT="0" distB="0" distL="114300" distR="114300" simplePos="0" relativeHeight="251663360" behindDoc="0" locked="0" layoutInCell="1" allowOverlap="1">
                      <wp:simplePos x="0" y="0"/>
                      <wp:positionH relativeFrom="column">
                        <wp:posOffset>-601980</wp:posOffset>
                      </wp:positionH>
                      <wp:positionV relativeFrom="paragraph">
                        <wp:posOffset>1073785</wp:posOffset>
                      </wp:positionV>
                      <wp:extent cx="466725" cy="914400"/>
                      <wp:effectExtent l="5080" t="8255" r="13970" b="10795"/>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466725" cy="914400"/>
                              </a:xfrm>
                              <a:prstGeom prst="rect">
                                <a:avLst/>
                              </a:prstGeom>
                              <a:noFill/>
                              <a:ln w="9525">
                                <a:solidFill>
                                  <a:srgbClr val="FFFFFF"/>
                                </a:solidFill>
                                <a:miter lim="800000"/>
                              </a:ln>
                            </wps:spPr>
                            <wps:txbx>
                              <w:txbxContent>
                                <w:p>
                                  <w:pPr>
                                    <w:rPr>
                                      <w:szCs w:val="21"/>
                                    </w:rPr>
                                  </w:pPr>
                                </w:p>
                              </w:txbxContent>
                            </wps:txbx>
                            <wps:bodyPr rot="0" vert="eaVert" wrap="square" lIns="91440" tIns="45720" rIns="91440" bIns="45720" anchor="t" anchorCtr="0" upright="1">
                              <a:noAutofit/>
                            </wps:bodyPr>
                          </wps:wsp>
                        </a:graphicData>
                      </a:graphic>
                    </wp:anchor>
                  </w:drawing>
                </mc:Choice>
                <mc:Fallback>
                  <w:pict>
                    <v:shape id="Text Box 3" o:spid="_x0000_s1026" o:spt="202" type="#_x0000_t202" style="position:absolute;left:0pt;margin-left:-47.4pt;margin-top:84.55pt;height:72pt;width:36.75pt;z-index:251663360;mso-width-relative:page;mso-height-relative:page;" filled="f" stroked="t" coordsize="21600,21600" o:gfxdata="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Ss49PYAAAACwEAAA8AAAAAAAAAAQAgAAAAIgAAAGRycy9kb3ducmV2LnhtbFBLAQIU&#10;ABQAAAAIAIdO4kDfvSVcLAIAAF4EAAAOAAAAAAAAAAEAIAAAACcBAABkcnMvZTJvRG9jLnhtbFBL&#10;BQYAAAAABgAGAFkBAADFBQAAAAA=&#10;">
                      <v:fill on="f" focussize="0,0"/>
                      <v:stroke color="#FFFFFF" miterlimit="8" joinstyle="miter"/>
                      <v:imagedata o:title=""/>
                      <o:lock v:ext="edit" aspectratio="f"/>
                      <v:textbox style="layout-flow:vertical-ideographic;">
                        <w:txbxContent>
                          <w:p>
                            <w:pPr>
                              <w:rPr>
                                <w:szCs w:val="21"/>
                              </w:rPr>
                            </w:pPr>
                          </w:p>
                        </w:txbxContent>
                      </v:textbox>
                    </v:shape>
                  </w:pict>
                </mc:Fallback>
              </mc:AlternateContent>
            </w:r>
          </w:p>
        </w:tc>
        <w:tc>
          <w:tcPr>
            <w:tcW w:w="717" w:type="dxa"/>
            <w:vMerge w:val="restart"/>
            <w:tcBorders>
              <w:top w:val="single" w:color="auto" w:sz="4" w:space="0"/>
              <w:left w:val="single" w:color="auto" w:sz="2" w:space="0"/>
              <w:bottom w:val="single" w:color="auto" w:sz="4" w:space="0"/>
              <w:right w:val="single" w:color="auto" w:sz="2" w:space="0"/>
            </w:tcBorders>
            <w:vAlign w:val="center"/>
          </w:tcPr>
          <w:p>
            <w:pPr>
              <w:pStyle w:val="30"/>
              <w:rPr>
                <w:rFonts w:ascii="宋体" w:eastAsia="宋体"/>
                <w:u w:val="none"/>
              </w:rPr>
            </w:pPr>
            <w:r>
              <w:rPr>
                <w:rFonts w:hint="eastAsia" w:ascii="宋体" w:eastAsia="宋体"/>
                <w:u w:val="none"/>
              </w:rPr>
              <w:t>幼</w:t>
            </w:r>
          </w:p>
          <w:p>
            <w:pPr>
              <w:pStyle w:val="30"/>
              <w:rPr>
                <w:rFonts w:ascii="宋体" w:eastAsia="宋体"/>
                <w:u w:val="none"/>
              </w:rPr>
            </w:pPr>
            <w:r>
              <w:rPr>
                <w:rFonts w:hint="eastAsia" w:ascii="宋体" w:eastAsia="宋体"/>
                <w:u w:val="none"/>
              </w:rPr>
              <w:t>儿</w:t>
            </w:r>
          </w:p>
          <w:p>
            <w:pPr>
              <w:pStyle w:val="30"/>
              <w:rPr>
                <w:rFonts w:ascii="宋体" w:eastAsia="宋体"/>
                <w:u w:val="none"/>
              </w:rPr>
            </w:pPr>
            <w:r>
              <w:rPr>
                <w:rFonts w:hint="eastAsia" w:ascii="宋体" w:eastAsia="宋体"/>
                <w:u w:val="none"/>
              </w:rPr>
              <w:t>园</w:t>
            </w:r>
          </w:p>
        </w:tc>
        <w:tc>
          <w:tcPr>
            <w:tcW w:w="726" w:type="dxa"/>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r>
              <w:rPr>
                <w:rFonts w:hint="eastAsia" w:ascii="宋体" w:eastAsia="宋体"/>
                <w:u w:val="none"/>
              </w:rPr>
              <w:t>6班</w:t>
            </w:r>
          </w:p>
        </w:tc>
        <w:tc>
          <w:tcPr>
            <w:tcW w:w="1261" w:type="dxa"/>
            <w:tcBorders>
              <w:top w:val="single" w:color="auto" w:sz="2" w:space="0"/>
              <w:left w:val="single" w:color="auto" w:sz="2" w:space="0"/>
              <w:bottom w:val="single" w:color="auto" w:sz="4" w:space="0"/>
              <w:right w:val="single" w:color="auto" w:sz="2" w:space="0"/>
            </w:tcBorders>
            <w:vAlign w:val="center"/>
          </w:tcPr>
          <w:p>
            <w:pPr>
              <w:pStyle w:val="30"/>
              <w:rPr>
                <w:u w:val="none"/>
              </w:rPr>
            </w:pPr>
            <w:r>
              <w:rPr>
                <w:rFonts w:hint="eastAsia"/>
                <w:u w:val="none"/>
              </w:rPr>
              <w:t>1600</w:t>
            </w:r>
          </w:p>
        </w:tc>
        <w:tc>
          <w:tcPr>
            <w:tcW w:w="1218" w:type="dxa"/>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r>
              <w:rPr>
                <w:rFonts w:ascii="宋体" w:eastAsia="宋体"/>
                <w:u w:val="none"/>
              </w:rPr>
              <w:t>2000</w:t>
            </w:r>
          </w:p>
        </w:tc>
        <w:tc>
          <w:tcPr>
            <w:tcW w:w="1124" w:type="dxa"/>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r>
              <w:rPr>
                <w:rFonts w:hint="eastAsia" w:ascii="宋体" w:eastAsia="宋体"/>
                <w:u w:val="none"/>
              </w:rPr>
              <w:t>0.4</w:t>
            </w:r>
            <w:r>
              <w:rPr>
                <w:rFonts w:ascii="宋体" w:eastAsia="宋体"/>
                <w:u w:val="none"/>
              </w:rPr>
              <w:t>5</w:t>
            </w:r>
            <w:r>
              <w:rPr>
                <w:rFonts w:hint="eastAsia" w:ascii="宋体" w:eastAsia="宋体"/>
                <w:u w:val="none"/>
              </w:rPr>
              <w:t>～0.</w:t>
            </w:r>
            <w:r>
              <w:rPr>
                <w:rFonts w:ascii="宋体" w:eastAsia="宋体"/>
                <w:u w:val="none"/>
              </w:rPr>
              <w:t>7</w:t>
            </w:r>
          </w:p>
        </w:tc>
        <w:tc>
          <w:tcPr>
            <w:tcW w:w="1874" w:type="dxa"/>
            <w:vMerge w:val="restart"/>
            <w:tcBorders>
              <w:top w:val="single" w:color="auto" w:sz="4" w:space="0"/>
              <w:left w:val="single" w:color="auto" w:sz="2" w:space="0"/>
              <w:bottom w:val="single" w:color="auto" w:sz="4" w:space="0"/>
              <w:right w:val="single" w:color="auto" w:sz="2" w:space="0"/>
            </w:tcBorders>
            <w:vAlign w:val="center"/>
          </w:tcPr>
          <w:p>
            <w:pPr>
              <w:pStyle w:val="30"/>
              <w:jc w:val="both"/>
              <w:rPr>
                <w:rFonts w:ascii="宋体" w:eastAsia="宋体"/>
                <w:u w:val="none"/>
              </w:rPr>
            </w:pPr>
            <w:r>
              <w:rPr>
                <w:rFonts w:hint="eastAsia" w:ascii="宋体" w:eastAsia="宋体"/>
                <w:u w:val="none"/>
              </w:rPr>
              <w:t>按每班30生设置。</w:t>
            </w:r>
          </w:p>
          <w:p>
            <w:pPr>
              <w:pStyle w:val="30"/>
              <w:jc w:val="both"/>
              <w:rPr>
                <w:rFonts w:ascii="宋体" w:eastAsia="宋体"/>
                <w:u w:val="none"/>
              </w:rPr>
            </w:pPr>
            <w:r>
              <w:rPr>
                <w:rFonts w:hint="eastAsia" w:ascii="宋体" w:eastAsia="宋体"/>
                <w:u w:val="none"/>
              </w:rPr>
              <w:t xml:space="preserve">用地面积10 </w:t>
            </w:r>
            <w:r>
              <w:rPr>
                <w:rFonts w:hint="eastAsia" w:ascii="宋体" w:eastAsia="宋体" w:cs="宋体"/>
                <w:u w:val="none"/>
              </w:rPr>
              <w:t>㎡</w:t>
            </w:r>
            <w:r>
              <w:rPr>
                <w:rFonts w:hint="eastAsia" w:ascii="宋体" w:eastAsia="宋体"/>
                <w:u w:val="none"/>
              </w:rPr>
              <w:t>/生，建筑面积8</w:t>
            </w:r>
            <w:r>
              <w:rPr>
                <w:rFonts w:hint="eastAsia" w:ascii="宋体" w:eastAsia="宋体" w:cs="宋体"/>
                <w:u w:val="none"/>
              </w:rPr>
              <w:t>㎡</w:t>
            </w:r>
            <w:r>
              <w:rPr>
                <w:rFonts w:hint="eastAsia" w:ascii="宋体" w:eastAsia="宋体"/>
                <w:u w:val="none"/>
              </w:rPr>
              <w:t xml:space="preserve">/生。 </w:t>
            </w:r>
          </w:p>
        </w:tc>
        <w:tc>
          <w:tcPr>
            <w:tcW w:w="385" w:type="dxa"/>
            <w:vMerge w:val="restart"/>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restart"/>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restart"/>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070" w:type="dxa"/>
            <w:vMerge w:val="restart"/>
            <w:tcBorders>
              <w:top w:val="single" w:color="auto" w:sz="2" w:space="0"/>
              <w:left w:val="single" w:color="auto" w:sz="2" w:space="0"/>
              <w:bottom w:val="single" w:color="auto" w:sz="4"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小区级应设9班以上幼儿园，居住人口不足时允许设6班幼儿园。幼儿园应有独立用地。保证每班不少于60</w:t>
            </w:r>
            <w:r>
              <w:rPr>
                <w:rFonts w:hint="eastAsia" w:ascii="宋体" w:eastAsia="宋体" w:cs="宋体"/>
                <w:u w:val="none"/>
              </w:rPr>
              <w:t>㎡</w:t>
            </w:r>
            <w:r>
              <w:rPr>
                <w:rFonts w:hint="eastAsia" w:ascii="宋体" w:eastAsia="宋体"/>
                <w:u w:val="none"/>
              </w:rPr>
              <w:t>的室外游戏场地，包括设置大型活动器械、戏水池、沙坑以及10米长直跑道。幼儿园宜有集中绿化用地面积，并严禁种植有毒、带刺的植物。幼儿园建筑层数不应超过3层，其日照间距系数按照相关规定执行。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35" w:type="dxa"/>
            <w:vMerge w:val="continue"/>
            <w:tcBorders>
              <w:right w:val="single" w:color="auto" w:sz="2" w:space="0"/>
            </w:tcBorders>
            <w:vAlign w:val="center"/>
          </w:tcPr>
          <w:p>
            <w:pPr>
              <w:pStyle w:val="30"/>
              <w:rPr>
                <w:rFonts w:ascii="宋体" w:eastAsia="宋体"/>
                <w:u w:val="none"/>
              </w:rPr>
            </w:pPr>
          </w:p>
        </w:tc>
        <w:tc>
          <w:tcPr>
            <w:tcW w:w="717"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9班</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u w:val="none"/>
              </w:rPr>
            </w:pPr>
            <w:r>
              <w:rPr>
                <w:rFonts w:hint="eastAsia"/>
                <w:u w:val="none"/>
              </w:rPr>
              <w:t>2200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ascii="宋体" w:eastAsia="宋体"/>
                <w:u w:val="none"/>
              </w:rPr>
              <w:t>2430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0.</w:t>
            </w:r>
            <w:r>
              <w:rPr>
                <w:rFonts w:ascii="宋体" w:eastAsia="宋体"/>
                <w:u w:val="none"/>
              </w:rPr>
              <w:t>7</w:t>
            </w:r>
            <w:r>
              <w:rPr>
                <w:rFonts w:hint="eastAsia" w:ascii="宋体" w:eastAsia="宋体"/>
                <w:u w:val="none"/>
              </w:rPr>
              <w:t>～0.</w:t>
            </w:r>
            <w:r>
              <w:rPr>
                <w:rFonts w:ascii="宋体" w:eastAsia="宋体"/>
                <w:u w:val="none"/>
              </w:rPr>
              <w:t>9</w:t>
            </w:r>
          </w:p>
        </w:tc>
        <w:tc>
          <w:tcPr>
            <w:tcW w:w="1874" w:type="dxa"/>
            <w:vMerge w:val="continue"/>
            <w:tcBorders>
              <w:top w:val="single" w:color="auto" w:sz="2" w:space="0"/>
              <w:left w:val="single" w:color="auto" w:sz="2" w:space="0"/>
              <w:bottom w:val="single" w:color="auto" w:sz="4" w:space="0"/>
              <w:right w:val="single" w:color="auto" w:sz="2" w:space="0"/>
            </w:tcBorders>
            <w:vAlign w:val="center"/>
          </w:tcPr>
          <w:p>
            <w:pPr>
              <w:pStyle w:val="30"/>
              <w:jc w:val="both"/>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5070"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35" w:type="dxa"/>
            <w:vMerge w:val="continue"/>
            <w:tcBorders>
              <w:right w:val="single" w:color="auto" w:sz="2" w:space="0"/>
            </w:tcBorders>
            <w:vAlign w:val="center"/>
          </w:tcPr>
          <w:p>
            <w:pPr>
              <w:pStyle w:val="30"/>
              <w:rPr>
                <w:rFonts w:ascii="宋体" w:eastAsia="宋体"/>
                <w:u w:val="none"/>
              </w:rPr>
            </w:pPr>
          </w:p>
        </w:tc>
        <w:tc>
          <w:tcPr>
            <w:tcW w:w="717"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12班</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u w:val="none"/>
              </w:rPr>
            </w:pPr>
            <w:r>
              <w:rPr>
                <w:rFonts w:hint="eastAsia"/>
                <w:u w:val="none"/>
              </w:rPr>
              <w:t>2900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w:t>
            </w:r>
            <w:r>
              <w:rPr>
                <w:rFonts w:ascii="宋体" w:eastAsia="宋体"/>
                <w:u w:val="none"/>
              </w:rPr>
              <w:t>240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0.</w:t>
            </w:r>
            <w:r>
              <w:rPr>
                <w:rFonts w:ascii="宋体" w:eastAsia="宋体"/>
                <w:u w:val="none"/>
              </w:rPr>
              <w:t>9</w:t>
            </w:r>
            <w:r>
              <w:rPr>
                <w:rFonts w:hint="eastAsia" w:ascii="宋体" w:eastAsia="宋体"/>
                <w:u w:val="none"/>
              </w:rPr>
              <w:t>～1.1</w:t>
            </w:r>
          </w:p>
        </w:tc>
        <w:tc>
          <w:tcPr>
            <w:tcW w:w="1874" w:type="dxa"/>
            <w:vMerge w:val="continue"/>
            <w:tcBorders>
              <w:top w:val="single" w:color="auto" w:sz="2" w:space="0"/>
              <w:left w:val="single" w:color="auto" w:sz="2" w:space="0"/>
              <w:bottom w:val="single" w:color="auto" w:sz="4" w:space="0"/>
              <w:right w:val="single" w:color="auto" w:sz="2" w:space="0"/>
            </w:tcBorders>
            <w:vAlign w:val="center"/>
          </w:tcPr>
          <w:p>
            <w:pPr>
              <w:pStyle w:val="30"/>
              <w:jc w:val="both"/>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5070"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35" w:type="dxa"/>
            <w:vMerge w:val="continue"/>
            <w:tcBorders>
              <w:right w:val="single" w:color="auto" w:sz="2" w:space="0"/>
            </w:tcBorders>
            <w:vAlign w:val="center"/>
          </w:tcPr>
          <w:p>
            <w:pPr>
              <w:pStyle w:val="30"/>
              <w:rPr>
                <w:rFonts w:ascii="宋体" w:eastAsia="宋体"/>
                <w:u w:val="none"/>
              </w:rPr>
            </w:pPr>
          </w:p>
        </w:tc>
        <w:tc>
          <w:tcPr>
            <w:tcW w:w="717"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15班</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u w:val="none"/>
              </w:rPr>
            </w:pPr>
            <w:r>
              <w:rPr>
                <w:rFonts w:hint="eastAsia"/>
                <w:u w:val="none"/>
              </w:rPr>
              <w:t>3600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4</w:t>
            </w:r>
            <w:r>
              <w:rPr>
                <w:rFonts w:ascii="宋体" w:eastAsia="宋体"/>
                <w:u w:val="none"/>
              </w:rPr>
              <w:t>050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1.1～1.35</w:t>
            </w:r>
          </w:p>
        </w:tc>
        <w:tc>
          <w:tcPr>
            <w:tcW w:w="1874" w:type="dxa"/>
            <w:vMerge w:val="continue"/>
            <w:tcBorders>
              <w:top w:val="single" w:color="auto" w:sz="2" w:space="0"/>
              <w:left w:val="single" w:color="auto" w:sz="2" w:space="0"/>
              <w:bottom w:val="single" w:color="auto" w:sz="4" w:space="0"/>
              <w:right w:val="single" w:color="auto" w:sz="2" w:space="0"/>
            </w:tcBorders>
            <w:vAlign w:val="center"/>
          </w:tcPr>
          <w:p>
            <w:pPr>
              <w:pStyle w:val="30"/>
              <w:jc w:val="both"/>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5070"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35" w:type="dxa"/>
            <w:vMerge w:val="continue"/>
            <w:tcBorders>
              <w:right w:val="single" w:color="auto" w:sz="2" w:space="0"/>
            </w:tcBorders>
            <w:vAlign w:val="center"/>
          </w:tcPr>
          <w:p>
            <w:pPr>
              <w:pStyle w:val="30"/>
              <w:rPr>
                <w:rFonts w:ascii="宋体" w:eastAsia="宋体"/>
                <w:u w:val="none"/>
              </w:rPr>
            </w:pPr>
          </w:p>
        </w:tc>
        <w:tc>
          <w:tcPr>
            <w:tcW w:w="717"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18班</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u w:val="none"/>
              </w:rPr>
            </w:pPr>
            <w:r>
              <w:rPr>
                <w:rFonts w:hint="eastAsia"/>
                <w:u w:val="none"/>
              </w:rPr>
              <w:t>4300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ascii="宋体" w:eastAsia="宋体"/>
                <w:u w:val="none"/>
              </w:rPr>
              <w:t>48</w:t>
            </w:r>
            <w:r>
              <w:rPr>
                <w:rFonts w:hint="eastAsia" w:ascii="宋体" w:eastAsia="宋体"/>
                <w:u w:val="none"/>
              </w:rPr>
              <w:t>00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1.35～1.6</w:t>
            </w:r>
          </w:p>
        </w:tc>
        <w:tc>
          <w:tcPr>
            <w:tcW w:w="1874" w:type="dxa"/>
            <w:vMerge w:val="continue"/>
            <w:tcBorders>
              <w:top w:val="single" w:color="auto" w:sz="2" w:space="0"/>
              <w:left w:val="single" w:color="auto" w:sz="2" w:space="0"/>
              <w:bottom w:val="single" w:color="auto" w:sz="4" w:space="0"/>
              <w:right w:val="single" w:color="auto" w:sz="2" w:space="0"/>
            </w:tcBorders>
            <w:vAlign w:val="center"/>
          </w:tcPr>
          <w:p>
            <w:pPr>
              <w:pStyle w:val="30"/>
              <w:jc w:val="both"/>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5070"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535" w:type="dxa"/>
            <w:vMerge w:val="restart"/>
            <w:tcBorders>
              <w:right w:val="single" w:color="auto" w:sz="2" w:space="0"/>
            </w:tcBorders>
            <w:vAlign w:val="center"/>
          </w:tcPr>
          <w:p>
            <w:pPr>
              <w:pStyle w:val="30"/>
              <w:rPr>
                <w:rFonts w:ascii="宋体" w:eastAsia="宋体"/>
                <w:b/>
                <w:u w:val="none"/>
              </w:rPr>
            </w:pPr>
            <w:r>
              <w:rPr>
                <w:rFonts w:hint="eastAsia" w:ascii="宋体" w:eastAsia="宋体"/>
                <w:b/>
                <w:u w:val="none"/>
              </w:rPr>
              <w:t>医疗卫生设施</w:t>
            </w:r>
          </w:p>
        </w:tc>
        <w:tc>
          <w:tcPr>
            <w:tcW w:w="717"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综</w:t>
            </w:r>
          </w:p>
          <w:p>
            <w:pPr>
              <w:pStyle w:val="30"/>
              <w:rPr>
                <w:rFonts w:ascii="宋体" w:eastAsia="宋体"/>
                <w:u w:val="none"/>
              </w:rPr>
            </w:pPr>
            <w:r>
              <w:rPr>
                <w:rFonts w:hint="eastAsia" w:ascii="宋体" w:eastAsia="宋体"/>
                <w:u w:val="none"/>
              </w:rPr>
              <w:t>合</w:t>
            </w:r>
          </w:p>
          <w:p>
            <w:pPr>
              <w:pStyle w:val="30"/>
              <w:rPr>
                <w:rFonts w:ascii="宋体" w:eastAsia="宋体"/>
                <w:u w:val="none"/>
              </w:rPr>
            </w:pPr>
            <w:r>
              <w:rPr>
                <w:rFonts w:hint="eastAsia" w:ascii="宋体" w:eastAsia="宋体"/>
                <w:u w:val="none"/>
              </w:rPr>
              <w:t>医</w:t>
            </w:r>
          </w:p>
          <w:p>
            <w:pPr>
              <w:pStyle w:val="30"/>
              <w:rPr>
                <w:rFonts w:ascii="宋体" w:eastAsia="宋体"/>
                <w:u w:val="none"/>
              </w:rPr>
            </w:pPr>
            <w:r>
              <w:rPr>
                <w:rFonts w:hint="eastAsia" w:ascii="宋体" w:eastAsia="宋体"/>
                <w:u w:val="none"/>
              </w:rPr>
              <w:t>院</w:t>
            </w: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200床</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12000～18000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23400～26000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5～10</w:t>
            </w:r>
          </w:p>
        </w:tc>
        <w:tc>
          <w:tcPr>
            <w:tcW w:w="1874"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按千人1～2床位控制医院规模。</w:t>
            </w:r>
          </w:p>
          <w:p>
            <w:pPr>
              <w:pStyle w:val="30"/>
              <w:jc w:val="both"/>
              <w:rPr>
                <w:rFonts w:ascii="宋体" w:eastAsia="宋体"/>
                <w:u w:val="none"/>
              </w:rPr>
            </w:pPr>
            <w:r>
              <w:rPr>
                <w:rFonts w:hint="eastAsia" w:ascii="宋体" w:eastAsia="宋体"/>
                <w:u w:val="none"/>
              </w:rPr>
              <w:t xml:space="preserve">用地面积110～130 </w:t>
            </w:r>
            <w:r>
              <w:rPr>
                <w:rFonts w:hint="eastAsia" w:ascii="宋体" w:eastAsia="宋体" w:cs="宋体"/>
                <w:u w:val="none"/>
              </w:rPr>
              <w:t>㎡</w:t>
            </w:r>
            <w:r>
              <w:rPr>
                <w:rFonts w:hint="eastAsia" w:ascii="宋体" w:eastAsia="宋体"/>
                <w:u w:val="none"/>
              </w:rPr>
              <w:t xml:space="preserve">/床，建筑面积60～70 </w:t>
            </w:r>
            <w:r>
              <w:rPr>
                <w:rFonts w:hint="eastAsia" w:ascii="宋体" w:eastAsia="宋体" w:cs="宋体"/>
                <w:u w:val="none"/>
              </w:rPr>
              <w:t>㎡</w:t>
            </w:r>
            <w:r>
              <w:rPr>
                <w:rFonts w:hint="eastAsia" w:ascii="宋体" w:eastAsia="宋体"/>
                <w:u w:val="none"/>
              </w:rPr>
              <w:t>/床。</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70" w:type="dxa"/>
            <w:vMerge w:val="restart"/>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区域统筹安排，应独立用地，设置于交通方便地段，宜面临两条城市道路，并远离高压线路及其设施、少年儿童活动密集场所。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535" w:type="dxa"/>
            <w:vMerge w:val="continue"/>
            <w:tcBorders>
              <w:right w:val="single" w:color="auto" w:sz="2" w:space="0"/>
            </w:tcBorders>
            <w:vAlign w:val="center"/>
          </w:tcPr>
          <w:p>
            <w:pPr>
              <w:pStyle w:val="30"/>
              <w:rPr>
                <w:rFonts w:ascii="宋体" w:eastAsia="宋体"/>
                <w:u w:val="none"/>
              </w:rPr>
            </w:pPr>
          </w:p>
        </w:tc>
        <w:tc>
          <w:tcPr>
            <w:tcW w:w="717"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300～600床</w:t>
            </w:r>
          </w:p>
        </w:tc>
        <w:tc>
          <w:tcPr>
            <w:tcW w:w="1261"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center"/>
              <w:rPr>
                <w:rFonts w:ascii="宋体" w:hAnsi="宋体" w:eastAsia="宋体" w:cs="Times New Roman"/>
                <w:spacing w:val="-6"/>
                <w:sz w:val="18"/>
                <w:szCs w:val="18"/>
              </w:rPr>
            </w:pPr>
            <w:r>
              <w:rPr>
                <w:rFonts w:hint="eastAsia" w:ascii="宋体" w:hAnsi="宋体" w:eastAsia="宋体" w:cs="Times New Roman"/>
                <w:spacing w:val="-6"/>
                <w:sz w:val="18"/>
                <w:szCs w:val="18"/>
              </w:rPr>
              <w:t>19200～37200</w:t>
            </w:r>
          </w:p>
        </w:tc>
        <w:tc>
          <w:tcPr>
            <w:tcW w:w="1218"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center"/>
              <w:rPr>
                <w:rFonts w:ascii="宋体" w:hAnsi="宋体" w:eastAsia="宋体" w:cs="Times New Roman"/>
                <w:spacing w:val="-6"/>
                <w:sz w:val="18"/>
                <w:szCs w:val="18"/>
              </w:rPr>
            </w:pPr>
            <w:r>
              <w:rPr>
                <w:rFonts w:hint="eastAsia" w:ascii="宋体" w:hAnsi="宋体" w:eastAsia="宋体" w:cs="Times New Roman"/>
                <w:spacing w:val="-6"/>
                <w:sz w:val="18"/>
                <w:szCs w:val="18"/>
              </w:rPr>
              <w:t>35100～67800</w:t>
            </w:r>
          </w:p>
        </w:tc>
        <w:tc>
          <w:tcPr>
            <w:tcW w:w="1124"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center"/>
              <w:rPr>
                <w:rFonts w:ascii="宋体" w:hAnsi="宋体" w:eastAsia="宋体" w:cs="Times New Roman"/>
                <w:sz w:val="18"/>
                <w:szCs w:val="18"/>
              </w:rPr>
            </w:pPr>
            <w:r>
              <w:rPr>
                <w:rFonts w:hint="eastAsia" w:ascii="宋体" w:hAnsi="宋体" w:eastAsia="宋体" w:cs="Times New Roman"/>
                <w:sz w:val="18"/>
                <w:szCs w:val="18"/>
              </w:rPr>
              <w:t>10～20</w:t>
            </w:r>
          </w:p>
        </w:tc>
        <w:tc>
          <w:tcPr>
            <w:tcW w:w="1874" w:type="dxa"/>
            <w:vMerge w:val="continue"/>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7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35" w:type="dxa"/>
            <w:vMerge w:val="continue"/>
            <w:tcBorders>
              <w:right w:val="single" w:color="auto" w:sz="2" w:space="0"/>
            </w:tcBorders>
            <w:vAlign w:val="center"/>
          </w:tcPr>
          <w:p>
            <w:pPr>
              <w:pStyle w:val="30"/>
              <w:rPr>
                <w:rFonts w:ascii="宋体" w:eastAsia="宋体"/>
                <w:u w:val="none"/>
              </w:rPr>
            </w:pPr>
          </w:p>
        </w:tc>
        <w:tc>
          <w:tcPr>
            <w:tcW w:w="1443" w:type="dxa"/>
            <w:gridSpan w:val="2"/>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卫生服务中心</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2000～3000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2000～3000</w:t>
            </w:r>
          </w:p>
        </w:tc>
        <w:tc>
          <w:tcPr>
            <w:tcW w:w="1124"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center"/>
              <w:rPr>
                <w:rFonts w:ascii="宋体" w:hAnsi="宋体" w:eastAsia="宋体" w:cs="Times New Roman"/>
                <w:sz w:val="18"/>
                <w:szCs w:val="18"/>
              </w:rPr>
            </w:pPr>
            <w:r>
              <w:rPr>
                <w:rFonts w:hint="eastAsia" w:ascii="宋体" w:hAnsi="宋体" w:eastAsia="宋体" w:cs="Times New Roman"/>
                <w:sz w:val="18"/>
                <w:szCs w:val="18"/>
              </w:rPr>
              <w:t>5</w:t>
            </w:r>
          </w:p>
        </w:tc>
        <w:tc>
          <w:tcPr>
            <w:tcW w:w="1874"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both"/>
              <w:rPr>
                <w:rFonts w:ascii="宋体" w:hAnsi="宋体" w:eastAsia="宋体" w:cs="Times New Roman"/>
                <w:sz w:val="18"/>
                <w:szCs w:val="18"/>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70"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 xml:space="preserve">宜独立用地或结合其他服务设施设置，宜全部设于首层。若无法全部设于首层，可将部分业务用房设在二层，但必须保证首层不少于400 </w:t>
            </w:r>
            <w:r>
              <w:rPr>
                <w:rFonts w:hint="eastAsia" w:ascii="宋体" w:eastAsia="宋体" w:cs="宋体"/>
                <w:u w:val="none"/>
              </w:rPr>
              <w:t>㎡</w:t>
            </w:r>
            <w:r>
              <w:rPr>
                <w:rFonts w:hint="eastAsia" w:ascii="宋体" w:eastAsia="宋体"/>
                <w:u w:val="none"/>
              </w:rPr>
              <w:t xml:space="preserve"> 的使用面积。</w:t>
            </w:r>
          </w:p>
          <w:p>
            <w:pPr>
              <w:pStyle w:val="30"/>
              <w:ind w:firstLine="360" w:firstLineChars="200"/>
              <w:jc w:val="both"/>
              <w:rPr>
                <w:rFonts w:ascii="宋体" w:eastAsia="宋体"/>
                <w:u w:val="none"/>
              </w:rPr>
            </w:pPr>
            <w:r>
              <w:rPr>
                <w:rFonts w:hint="eastAsia" w:ascii="宋体" w:eastAsia="宋体"/>
                <w:u w:val="none"/>
              </w:rPr>
              <w:t>已设综合医院的居住区可不再设置。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535" w:type="dxa"/>
            <w:vMerge w:val="continue"/>
            <w:tcBorders>
              <w:right w:val="single" w:color="auto" w:sz="2" w:space="0"/>
            </w:tcBorders>
            <w:vAlign w:val="center"/>
          </w:tcPr>
          <w:p>
            <w:pPr>
              <w:pStyle w:val="30"/>
              <w:rPr>
                <w:rFonts w:ascii="宋体" w:eastAsia="宋体"/>
                <w:u w:val="none"/>
              </w:rPr>
            </w:pPr>
          </w:p>
        </w:tc>
        <w:tc>
          <w:tcPr>
            <w:tcW w:w="1443" w:type="dxa"/>
            <w:gridSpan w:val="2"/>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r>
              <w:rPr>
                <w:rFonts w:hint="eastAsia" w:ascii="宋体" w:eastAsia="宋体"/>
                <w:u w:val="none"/>
              </w:rPr>
              <w:t>卫生站</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1124"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center"/>
              <w:rPr>
                <w:rFonts w:ascii="宋体" w:hAnsi="宋体" w:eastAsia="宋体" w:cs="Times New Roman"/>
                <w:sz w:val="18"/>
                <w:szCs w:val="18"/>
              </w:rPr>
            </w:pPr>
            <w:r>
              <w:rPr>
                <w:rFonts w:hint="eastAsia" w:ascii="宋体" w:hAnsi="宋体" w:eastAsia="宋体" w:cs="Times New Roman"/>
                <w:sz w:val="18"/>
                <w:szCs w:val="18"/>
              </w:rPr>
              <w:t>1.5</w:t>
            </w:r>
          </w:p>
        </w:tc>
        <w:tc>
          <w:tcPr>
            <w:tcW w:w="1874"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both"/>
              <w:rPr>
                <w:rFonts w:ascii="宋体" w:hAnsi="宋体" w:eastAsia="宋体" w:cs="Times New Roman"/>
                <w:sz w:val="18"/>
                <w:szCs w:val="18"/>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070"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可结合居委会或其它建筑设置，全部或1/2以上的面积应设在首层，并有方便的对外出入口。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535" w:type="dxa"/>
            <w:tcBorders>
              <w:right w:val="single" w:color="auto" w:sz="2" w:space="0"/>
            </w:tcBorders>
            <w:vAlign w:val="center"/>
          </w:tcPr>
          <w:p>
            <w:pPr>
              <w:pStyle w:val="30"/>
              <w:rPr>
                <w:rFonts w:ascii="宋体" w:eastAsia="宋体"/>
                <w:u w:val="none"/>
              </w:rPr>
            </w:pPr>
          </w:p>
        </w:tc>
        <w:tc>
          <w:tcPr>
            <w:tcW w:w="1443" w:type="dxa"/>
            <w:gridSpan w:val="2"/>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综合文化</w:t>
            </w:r>
          </w:p>
          <w:p>
            <w:pPr>
              <w:pStyle w:val="30"/>
              <w:rPr>
                <w:rFonts w:ascii="宋体" w:eastAsia="宋体"/>
                <w:u w:val="none"/>
              </w:rPr>
            </w:pPr>
            <w:r>
              <w:rPr>
                <w:rFonts w:hint="eastAsia" w:ascii="宋体" w:eastAsia="宋体"/>
                <w:u w:val="none"/>
              </w:rPr>
              <w:t>活动中心</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3000～5000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3000～5000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3～5</w:t>
            </w:r>
          </w:p>
        </w:tc>
        <w:tc>
          <w:tcPr>
            <w:tcW w:w="1874"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按千人指标控制：</w:t>
            </w:r>
          </w:p>
          <w:p>
            <w:pPr>
              <w:pStyle w:val="30"/>
              <w:jc w:val="both"/>
              <w:rPr>
                <w:rFonts w:ascii="宋体" w:eastAsia="宋体"/>
                <w:u w:val="none"/>
              </w:rPr>
            </w:pPr>
            <w:r>
              <w:rPr>
                <w:rFonts w:hint="eastAsia" w:ascii="宋体" w:eastAsia="宋体"/>
                <w:u w:val="none"/>
              </w:rPr>
              <w:t>用地面积100</w:t>
            </w:r>
            <w:r>
              <w:rPr>
                <w:rFonts w:hint="eastAsia" w:ascii="宋体" w:eastAsia="宋体" w:cs="宋体"/>
                <w:u w:val="none"/>
              </w:rPr>
              <w:t>㎡</w:t>
            </w:r>
            <w:r>
              <w:rPr>
                <w:rFonts w:hint="eastAsia" w:ascii="宋体" w:eastAsia="宋体"/>
                <w:u w:val="none"/>
              </w:rPr>
              <w:t>，</w:t>
            </w:r>
          </w:p>
          <w:p>
            <w:pPr>
              <w:pStyle w:val="30"/>
              <w:jc w:val="both"/>
              <w:rPr>
                <w:rFonts w:ascii="宋体" w:eastAsia="宋体"/>
                <w:u w:val="none"/>
              </w:rPr>
            </w:pPr>
            <w:r>
              <w:rPr>
                <w:rFonts w:hint="eastAsia" w:ascii="宋体" w:eastAsia="宋体"/>
                <w:u w:val="none"/>
              </w:rPr>
              <w:t>建筑面积100</w:t>
            </w:r>
            <w:r>
              <w:rPr>
                <w:rFonts w:hint="eastAsia" w:ascii="宋体" w:eastAsia="宋体" w:cs="宋体"/>
                <w:u w:val="none"/>
              </w:rPr>
              <w:t>㎡</w:t>
            </w:r>
            <w:r>
              <w:rPr>
                <w:rFonts w:hint="eastAsia" w:ascii="宋体" w:eastAsia="宋体"/>
                <w:u w:val="none"/>
              </w:rPr>
              <w:t>。</w:t>
            </w: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70"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宜独立用地，结合或靠近同级中心绿地安排。噪声较大的排练室、游艺室等应与住宅保持一定距离，并采取必要的防止干扰措施。应设置老年人活动中心、青少年活动中心、儿童图书阅览馆（室）等项目，宜配置文化康乐设施、图书阅览、科技普法、教育培训等设施，并宜设置多功能厅、展览厅、电脑室等。</w:t>
            </w:r>
          </w:p>
        </w:tc>
      </w:tr>
    </w:tbl>
    <w:p/>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居住用地公共服务设施设置标准（续表）</w:t>
      </w:r>
    </w:p>
    <w:tbl>
      <w:tblPr>
        <w:tblStyle w:val="18"/>
        <w:tblW w:w="136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36"/>
        <w:gridCol w:w="1255"/>
        <w:gridCol w:w="1213"/>
        <w:gridCol w:w="1119"/>
        <w:gridCol w:w="1788"/>
        <w:gridCol w:w="387"/>
        <w:gridCol w:w="388"/>
        <w:gridCol w:w="388"/>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blHeader/>
        </w:trPr>
        <w:tc>
          <w:tcPr>
            <w:tcW w:w="531" w:type="dxa"/>
            <w:vMerge w:val="restart"/>
            <w:tcBorders>
              <w:right w:val="single" w:color="auto" w:sz="2" w:space="0"/>
            </w:tcBorders>
            <w:vAlign w:val="center"/>
          </w:tcPr>
          <w:p>
            <w:pPr>
              <w:pStyle w:val="29"/>
              <w:rPr>
                <w:rFonts w:ascii="宋体" w:eastAsia="宋体"/>
              </w:rPr>
            </w:pPr>
            <w:r>
              <w:rPr>
                <w:rFonts w:hint="eastAsia" w:ascii="宋体" w:eastAsia="宋体"/>
              </w:rPr>
              <w:t>类</w:t>
            </w:r>
          </w:p>
          <w:p>
            <w:pPr>
              <w:pStyle w:val="29"/>
              <w:rPr>
                <w:rFonts w:ascii="宋体" w:eastAsia="宋体"/>
              </w:rPr>
            </w:pPr>
          </w:p>
          <w:p>
            <w:pPr>
              <w:pStyle w:val="29"/>
              <w:rPr>
                <w:rFonts w:ascii="宋体" w:eastAsia="宋体"/>
              </w:rPr>
            </w:pPr>
            <w:r>
              <w:rPr>
                <w:rFonts w:hint="eastAsia" w:ascii="宋体" w:eastAsia="宋体"/>
              </w:rPr>
              <w:t>别</w:t>
            </w:r>
          </w:p>
        </w:tc>
        <w:tc>
          <w:tcPr>
            <w:tcW w:w="1436"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项 目 名 称</w:t>
            </w:r>
          </w:p>
        </w:tc>
        <w:tc>
          <w:tcPr>
            <w:tcW w:w="2468" w:type="dxa"/>
            <w:gridSpan w:val="2"/>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一般规模（m²/处）</w:t>
            </w:r>
          </w:p>
        </w:tc>
        <w:tc>
          <w:tcPr>
            <w:tcW w:w="1119"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服务规模</w:t>
            </w:r>
          </w:p>
          <w:p>
            <w:pPr>
              <w:pStyle w:val="29"/>
              <w:rPr>
                <w:rFonts w:ascii="宋体" w:eastAsia="宋体"/>
              </w:rPr>
            </w:pPr>
            <w:r>
              <w:rPr>
                <w:rFonts w:hint="eastAsia" w:ascii="宋体" w:eastAsia="宋体"/>
              </w:rPr>
              <w:t>（万人）</w:t>
            </w:r>
          </w:p>
        </w:tc>
        <w:tc>
          <w:tcPr>
            <w:tcW w:w="1788"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规 定</w:t>
            </w:r>
          </w:p>
        </w:tc>
        <w:tc>
          <w:tcPr>
            <w:tcW w:w="1163" w:type="dxa"/>
            <w:gridSpan w:val="3"/>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级 别</w:t>
            </w:r>
          </w:p>
        </w:tc>
        <w:tc>
          <w:tcPr>
            <w:tcW w:w="5111"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blHeader/>
        </w:trPr>
        <w:tc>
          <w:tcPr>
            <w:tcW w:w="531" w:type="dxa"/>
            <w:vMerge w:val="continue"/>
            <w:tcBorders>
              <w:right w:val="single" w:color="auto" w:sz="2" w:space="0"/>
            </w:tcBorders>
            <w:vAlign w:val="center"/>
          </w:tcPr>
          <w:p>
            <w:pPr>
              <w:pStyle w:val="29"/>
              <w:rPr>
                <w:rFonts w:ascii="宋体" w:eastAsia="宋体"/>
              </w:rPr>
            </w:pPr>
          </w:p>
        </w:tc>
        <w:tc>
          <w:tcPr>
            <w:tcW w:w="1436"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255"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建 筑 面 积</w:t>
            </w:r>
          </w:p>
        </w:tc>
        <w:tc>
          <w:tcPr>
            <w:tcW w:w="1213"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用 地 面 积</w:t>
            </w:r>
          </w:p>
        </w:tc>
        <w:tc>
          <w:tcPr>
            <w:tcW w:w="1119"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788"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387"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片区级</w:t>
            </w:r>
          </w:p>
        </w:tc>
        <w:tc>
          <w:tcPr>
            <w:tcW w:w="388"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居住区级</w:t>
            </w:r>
          </w:p>
        </w:tc>
        <w:tc>
          <w:tcPr>
            <w:tcW w:w="388"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小区级</w:t>
            </w:r>
          </w:p>
        </w:tc>
        <w:tc>
          <w:tcPr>
            <w:tcW w:w="5111"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531" w:type="dxa"/>
            <w:vMerge w:val="restart"/>
            <w:tcBorders>
              <w:right w:val="single" w:color="auto" w:sz="2" w:space="0"/>
            </w:tcBorders>
            <w:vAlign w:val="center"/>
          </w:tcPr>
          <w:p>
            <w:pPr>
              <w:pStyle w:val="30"/>
              <w:rPr>
                <w:rFonts w:ascii="宋体" w:eastAsia="宋体"/>
                <w:b/>
                <w:u w:val="none"/>
              </w:rPr>
            </w:pPr>
            <w:r>
              <w:rPr>
                <w:rFonts w:hint="eastAsia" w:ascii="宋体" w:eastAsia="宋体"/>
                <w:b/>
                <w:u w:val="none"/>
              </w:rPr>
              <w:t>文化体育设施</w:t>
            </w:r>
            <w:r>
              <w:rPr>
                <w:rFonts w:hint="eastAsia" w:ascii="宋体" w:eastAsia="宋体"/>
                <w:b/>
                <w:snapToGrid/>
                <w:u w:val="none"/>
              </w:rPr>
              <mc:AlternateContent>
                <mc:Choice Requires="wps">
                  <w:drawing>
                    <wp:anchor distT="0" distB="0" distL="114300" distR="114300" simplePos="0" relativeHeight="251660288" behindDoc="0" locked="0" layoutInCell="1" allowOverlap="1">
                      <wp:simplePos x="0" y="0"/>
                      <wp:positionH relativeFrom="column">
                        <wp:posOffset>-535305</wp:posOffset>
                      </wp:positionH>
                      <wp:positionV relativeFrom="paragraph">
                        <wp:posOffset>1004570</wp:posOffset>
                      </wp:positionV>
                      <wp:extent cx="333375" cy="739775"/>
                      <wp:effectExtent l="5080" t="12700" r="13970" b="9525"/>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333375" cy="739775"/>
                              </a:xfrm>
                              <a:prstGeom prst="rect">
                                <a:avLst/>
                              </a:prstGeom>
                              <a:solidFill>
                                <a:srgbClr val="FFFFFF"/>
                              </a:solidFill>
                              <a:ln w="9525">
                                <a:solidFill>
                                  <a:srgbClr val="FFFFFF"/>
                                </a:solidFill>
                                <a:miter lim="800000"/>
                              </a:ln>
                            </wps:spPr>
                            <wps:txbx>
                              <w:txbxContent>
                                <w:p>
                                  <w:pPr>
                                    <w:rPr>
                                      <w:sz w:val="21"/>
                                      <w:szCs w:val="21"/>
                                    </w:rPr>
                                  </w:pPr>
                                  <w:r>
                                    <w:rPr>
                                      <w:rFonts w:hint="eastAsia"/>
                                      <w:sz w:val="24"/>
                                    </w:rPr>
                                    <w:t xml:space="preserve">    </w:t>
                                  </w:r>
                                </w:p>
                              </w:txbxContent>
                            </wps:txbx>
                            <wps:bodyPr rot="0" vert="eaVert" wrap="square" lIns="91440" tIns="45720" rIns="91440" bIns="45720" anchor="t" anchorCtr="0" upright="1">
                              <a:noAutofit/>
                            </wps:bodyPr>
                          </wps:wsp>
                        </a:graphicData>
                      </a:graphic>
                    </wp:anchor>
                  </w:drawing>
                </mc:Choice>
                <mc:Fallback>
                  <w:pict>
                    <v:shape id="Text Box 4" o:spid="_x0000_s1026" o:spt="202" type="#_x0000_t202" style="position:absolute;left:0pt;margin-left:-42.15pt;margin-top:79.1pt;height:58.25pt;width:26.25pt;z-index:251660288;mso-width-relative:page;mso-height-relative:page;" fillcolor="#FFFFFF" filled="t" stroked="t" coordsize="21600,21600" o:gfxdata="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ldZTXAAAACwEAAA8AAAAAAAAAAQAgAAAAIgAAAGRycy9kb3ducmV2LnhtbFBLAQIUABQA&#10;AAAIAIdO4kCKnny+KgIAAIcEAAAOAAAAAAAAAAEAIAAAACYBAABkcnMvZTJvRG9jLnhtbFBLBQYA&#10;AAAABgAGAFkBAADCBQAAAAA=&#10;">
                      <v:fill on="t" focussize="0,0"/>
                      <v:stroke color="#FFFFFF" miterlimit="8" joinstyle="miter"/>
                      <v:imagedata o:title=""/>
                      <o:lock v:ext="edit" aspectratio="f"/>
                      <v:textbox style="layout-flow:vertical-ideographic;">
                        <w:txbxContent>
                          <w:p>
                            <w:pPr>
                              <w:rPr>
                                <w:sz w:val="21"/>
                                <w:szCs w:val="21"/>
                              </w:rPr>
                            </w:pPr>
                            <w:r>
                              <w:rPr>
                                <w:rFonts w:hint="eastAsia"/>
                                <w:sz w:val="24"/>
                              </w:rPr>
                              <w:t xml:space="preserve">    </w:t>
                            </w:r>
                          </w:p>
                        </w:txbxContent>
                      </v:textbox>
                    </v:shape>
                  </w:pict>
                </mc:Fallback>
              </mc:AlternateContent>
            </w:r>
          </w:p>
        </w:tc>
        <w:tc>
          <w:tcPr>
            <w:tcW w:w="143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文化活动站</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400～600</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1～1.5</w:t>
            </w:r>
          </w:p>
        </w:tc>
        <w:tc>
          <w:tcPr>
            <w:tcW w:w="17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宜结合或靠近小区中心安排，可结合会所设置。</w:t>
            </w:r>
          </w:p>
          <w:p>
            <w:pPr>
              <w:pStyle w:val="30"/>
              <w:ind w:firstLine="360" w:firstLineChars="200"/>
              <w:jc w:val="both"/>
              <w:rPr>
                <w:rFonts w:ascii="宋体" w:eastAsia="宋体"/>
                <w:u w:val="none"/>
              </w:rPr>
            </w:pPr>
            <w:r>
              <w:rPr>
                <w:rFonts w:hint="eastAsia" w:ascii="宋体" w:eastAsia="宋体"/>
                <w:u w:val="none"/>
              </w:rPr>
              <w:t xml:space="preserve">内容包括书报阅览、书画、文娱、健身、音乐欣赏、茶座等，主要供青少年和老年人活动。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531" w:type="dxa"/>
            <w:vMerge w:val="continue"/>
            <w:tcBorders>
              <w:right w:val="single" w:color="auto" w:sz="2" w:space="0"/>
            </w:tcBorders>
            <w:vAlign w:val="center"/>
          </w:tcPr>
          <w:p>
            <w:pPr>
              <w:pStyle w:val="30"/>
              <w:rPr>
                <w:rFonts w:ascii="宋体" w:eastAsia="宋体"/>
                <w:u w:val="none"/>
              </w:rPr>
            </w:pPr>
          </w:p>
        </w:tc>
        <w:tc>
          <w:tcPr>
            <w:tcW w:w="143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居民运动场馆</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1000～1500</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10000～15000</w:t>
            </w: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3～5</w:t>
            </w:r>
          </w:p>
        </w:tc>
        <w:tc>
          <w:tcPr>
            <w:tcW w:w="1788"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 xml:space="preserve">按千人指标控制：千人用地面积300 </w:t>
            </w:r>
            <w:r>
              <w:rPr>
                <w:rFonts w:hint="eastAsia" w:ascii="宋体" w:eastAsia="宋体" w:cs="宋体"/>
                <w:u w:val="none"/>
              </w:rPr>
              <w:t>㎡</w:t>
            </w: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宜结合居住区公园或中心绿地设置。运动场宜包括200米跑道、小型足球场、篮球场、排球场和网球场、室外器械场地、慢跑道等。结合本地气候条件，宜设置室内运动场馆。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531" w:type="dxa"/>
            <w:vMerge w:val="continue"/>
            <w:tcBorders>
              <w:right w:val="single" w:color="auto" w:sz="2" w:space="0"/>
            </w:tcBorders>
            <w:vAlign w:val="center"/>
          </w:tcPr>
          <w:p>
            <w:pPr>
              <w:pStyle w:val="30"/>
              <w:rPr>
                <w:rFonts w:ascii="宋体" w:eastAsia="宋体"/>
                <w:u w:val="none"/>
              </w:rPr>
            </w:pPr>
          </w:p>
        </w:tc>
        <w:tc>
          <w:tcPr>
            <w:tcW w:w="143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群众健身设施</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100</w:t>
            </w:r>
            <w:r>
              <w:rPr>
                <w:rFonts w:hint="eastAsia" w:ascii="宋体" w:eastAsia="宋体" w:cs="宋体"/>
                <w:u w:val="none"/>
              </w:rPr>
              <w:t>㎡/千人</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ascii="宋体" w:eastAsia="宋体"/>
                <w:u w:val="none"/>
              </w:rPr>
              <w:t>3</w:t>
            </w:r>
            <w:r>
              <w:rPr>
                <w:rFonts w:hint="eastAsia" w:ascii="宋体" w:eastAsia="宋体"/>
                <w:u w:val="none"/>
              </w:rPr>
              <w:t>00㎡/千人</w:t>
            </w: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1788"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 xml:space="preserve">按人均指标控制：室内人均建筑面积不低于0.1㎡或室外人均用地不低于0.3 ㎡  </w:t>
            </w: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 xml:space="preserve">    充分利用郊野公园、城乡公园、公共绿地及城乡空置场所等建设群众体育设施。</w:t>
            </w:r>
          </w:p>
          <w:p>
            <w:pPr>
              <w:pStyle w:val="30"/>
              <w:ind w:firstLine="360" w:firstLineChars="200"/>
              <w:jc w:val="both"/>
              <w:rPr>
                <w:rFonts w:ascii="宋体" w:eastAsia="宋体"/>
                <w:u w:val="none"/>
              </w:rPr>
            </w:pPr>
            <w:r>
              <w:rPr>
                <w:rFonts w:hint="eastAsia" w:ascii="宋体" w:eastAsia="宋体"/>
                <w:u w:val="none"/>
              </w:rPr>
              <w:t>宜结合小区及组团绿地设置户外健身场地。</w:t>
            </w:r>
          </w:p>
          <w:p>
            <w:pPr>
              <w:pStyle w:val="30"/>
              <w:ind w:firstLine="360" w:firstLineChars="200"/>
              <w:jc w:val="both"/>
              <w:rPr>
                <w:rFonts w:ascii="宋体" w:eastAsia="宋体"/>
                <w:u w:val="none"/>
              </w:rPr>
            </w:pPr>
            <w:r>
              <w:rPr>
                <w:rFonts w:hint="eastAsia" w:ascii="宋体" w:eastAsia="宋体"/>
                <w:u w:val="none"/>
              </w:rPr>
              <w:t>可设置排球、羽毛球等小型球类场地、游泳池、室外器械场地、慢跑道和儿童及老年人活动场地、活动场所等设施。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531" w:type="dxa"/>
            <w:vMerge w:val="restart"/>
            <w:tcBorders>
              <w:top w:val="nil"/>
              <w:right w:val="single" w:color="auto" w:sz="2" w:space="0"/>
            </w:tcBorders>
            <w:vAlign w:val="center"/>
          </w:tcPr>
          <w:p>
            <w:pPr>
              <w:pStyle w:val="30"/>
              <w:rPr>
                <w:rFonts w:ascii="宋体" w:eastAsia="宋体"/>
                <w:u w:val="none"/>
              </w:rPr>
            </w:pPr>
            <w:r>
              <w:rPr>
                <w:rFonts w:hint="eastAsia" w:ascii="宋体" w:eastAsia="宋体"/>
                <w:b/>
                <w:u w:val="none"/>
              </w:rPr>
              <w:t>社区服务与行政管理设施</w:t>
            </w:r>
          </w:p>
        </w:tc>
        <w:tc>
          <w:tcPr>
            <w:tcW w:w="1436"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老年人</w:t>
            </w:r>
          </w:p>
          <w:p>
            <w:pPr>
              <w:pStyle w:val="30"/>
              <w:rPr>
                <w:rFonts w:ascii="宋体" w:eastAsia="宋体"/>
                <w:u w:val="none"/>
              </w:rPr>
            </w:pPr>
            <w:r>
              <w:rPr>
                <w:rFonts w:hint="eastAsia" w:ascii="宋体" w:eastAsia="宋体"/>
                <w:u w:val="none"/>
              </w:rPr>
              <w:t xml:space="preserve"> 福利院、</w:t>
            </w:r>
          </w:p>
          <w:p>
            <w:pPr>
              <w:pStyle w:val="30"/>
              <w:ind w:firstLine="270" w:firstLineChars="150"/>
              <w:jc w:val="both"/>
              <w:rPr>
                <w:rFonts w:ascii="宋体" w:eastAsia="宋体"/>
                <w:u w:val="none"/>
              </w:rPr>
            </w:pPr>
            <w:r>
              <w:rPr>
                <w:rFonts w:hint="eastAsia" w:ascii="宋体" w:eastAsia="宋体"/>
                <w:u w:val="none"/>
              </w:rPr>
              <w:t>敬老院</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2500～5000</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3000～6000</w:t>
            </w: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10～20</w:t>
            </w:r>
          </w:p>
        </w:tc>
        <w:tc>
          <w:tcPr>
            <w:tcW w:w="1788"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 xml:space="preserve">按千人1床位控制设置规模，建筑面积25 </w:t>
            </w:r>
            <w:r>
              <w:rPr>
                <w:rFonts w:hint="eastAsia" w:ascii="宋体" w:eastAsia="宋体" w:cs="宋体"/>
                <w:u w:val="none"/>
              </w:rPr>
              <w:t>㎡</w:t>
            </w:r>
            <w:r>
              <w:rPr>
                <w:rFonts w:hint="eastAsia" w:ascii="宋体" w:eastAsia="宋体"/>
                <w:u w:val="none"/>
              </w:rPr>
              <w:t xml:space="preserve">/床，用地面积30 </w:t>
            </w:r>
            <w:r>
              <w:rPr>
                <w:rFonts w:hint="eastAsia" w:ascii="宋体" w:eastAsia="宋体" w:cs="宋体"/>
                <w:u w:val="none"/>
              </w:rPr>
              <w:t>㎡</w:t>
            </w:r>
            <w:r>
              <w:rPr>
                <w:rFonts w:hint="eastAsia" w:ascii="宋体" w:eastAsia="宋体"/>
                <w:u w:val="none"/>
              </w:rPr>
              <w:t>/床。</w:t>
            </w: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区域统筹安排，应独立用地，每处容纳100-200床。</w:t>
            </w:r>
          </w:p>
          <w:p>
            <w:pPr>
              <w:pStyle w:val="30"/>
              <w:ind w:firstLine="360" w:firstLineChars="200"/>
              <w:jc w:val="both"/>
              <w:rPr>
                <w:rFonts w:ascii="宋体" w:eastAsia="宋体"/>
                <w:u w:val="none"/>
              </w:rPr>
            </w:pPr>
            <w:r>
              <w:rPr>
                <w:rFonts w:hint="eastAsia" w:ascii="宋体" w:eastAsia="宋体"/>
                <w:u w:val="none"/>
              </w:rPr>
              <w:t>建筑密度不大于30%；建筑布局采用散点式布局，建筑与绿化应有机结合，保证每栋楼的通风、采光条件。老年人使用步行道路应为无障碍通道系统。服务内容为提供缺少家庭照顾的老年人居住及文化娱乐。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531" w:type="dxa"/>
            <w:vMerge w:val="continue"/>
            <w:tcBorders>
              <w:right w:val="single" w:color="auto" w:sz="2" w:space="0"/>
            </w:tcBorders>
            <w:vAlign w:val="center"/>
          </w:tcPr>
          <w:p>
            <w:pPr>
              <w:pStyle w:val="30"/>
              <w:rPr>
                <w:rFonts w:ascii="宋体" w:eastAsia="宋体"/>
                <w:u w:val="none"/>
              </w:rPr>
            </w:pPr>
          </w:p>
        </w:tc>
        <w:tc>
          <w:tcPr>
            <w:tcW w:w="143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老年人</w:t>
            </w:r>
          </w:p>
          <w:p>
            <w:pPr>
              <w:pStyle w:val="30"/>
              <w:rPr>
                <w:rFonts w:ascii="宋体" w:eastAsia="宋体"/>
                <w:u w:val="none"/>
              </w:rPr>
            </w:pPr>
            <w:r>
              <w:rPr>
                <w:rFonts w:hint="eastAsia" w:ascii="宋体" w:eastAsia="宋体"/>
                <w:u w:val="none"/>
              </w:rPr>
              <w:t>活动中心</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ascii="宋体" w:eastAsia="宋体"/>
                <w:u w:val="none"/>
              </w:rPr>
              <w:t>15</w:t>
            </w:r>
            <w:r>
              <w:rPr>
                <w:rFonts w:hint="eastAsia" w:ascii="宋体" w:eastAsia="宋体"/>
                <w:u w:val="none"/>
              </w:rPr>
              <w:t>00～</w:t>
            </w:r>
            <w:r>
              <w:rPr>
                <w:rFonts w:ascii="宋体" w:eastAsia="宋体"/>
                <w:u w:val="none"/>
              </w:rPr>
              <w:t>3</w:t>
            </w:r>
            <w:r>
              <w:rPr>
                <w:rFonts w:hint="eastAsia" w:ascii="宋体" w:eastAsia="宋体"/>
                <w:u w:val="none"/>
              </w:rPr>
              <w:t>000</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1</w:t>
            </w:r>
            <w:r>
              <w:rPr>
                <w:rFonts w:ascii="宋体" w:eastAsia="宋体"/>
                <w:u w:val="none"/>
              </w:rPr>
              <w:t>0</w:t>
            </w:r>
            <w:r>
              <w:rPr>
                <w:rFonts w:hint="eastAsia" w:ascii="宋体" w:eastAsia="宋体"/>
                <w:u w:val="none"/>
              </w:rPr>
              <w:t>00～</w:t>
            </w:r>
            <w:r>
              <w:rPr>
                <w:rFonts w:ascii="宋体" w:eastAsia="宋体"/>
                <w:u w:val="none"/>
              </w:rPr>
              <w:t>20</w:t>
            </w:r>
            <w:r>
              <w:rPr>
                <w:rFonts w:hint="eastAsia" w:ascii="宋体" w:eastAsia="宋体"/>
                <w:u w:val="none"/>
              </w:rPr>
              <w:t>00</w:t>
            </w: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ascii="宋体" w:eastAsia="宋体"/>
                <w:u w:val="none"/>
              </w:rPr>
              <w:t>3</w:t>
            </w:r>
            <w:r>
              <w:rPr>
                <w:rFonts w:hint="eastAsia" w:ascii="宋体" w:eastAsia="宋体"/>
                <w:u w:val="none"/>
              </w:rPr>
              <w:t>～</w:t>
            </w:r>
            <w:r>
              <w:rPr>
                <w:rFonts w:ascii="宋体" w:eastAsia="宋体"/>
                <w:u w:val="none"/>
              </w:rPr>
              <w:t>6</w:t>
            </w:r>
          </w:p>
        </w:tc>
        <w:tc>
          <w:tcPr>
            <w:tcW w:w="1788"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ascii="宋体" w:eastAsia="宋体"/>
                <w:u w:val="none"/>
              </w:rPr>
              <w:t>按每千人</w:t>
            </w:r>
            <w:r>
              <w:rPr>
                <w:rFonts w:hint="eastAsia" w:ascii="宋体" w:eastAsia="宋体"/>
                <w:u w:val="none"/>
              </w:rPr>
              <w:t>配建</w:t>
            </w:r>
            <w:r>
              <w:rPr>
                <w:rFonts w:ascii="宋体" w:eastAsia="宋体"/>
                <w:u w:val="none"/>
              </w:rPr>
              <w:t>建筑面积</w:t>
            </w:r>
            <w:r>
              <w:rPr>
                <w:rFonts w:hint="eastAsia" w:ascii="宋体" w:eastAsia="宋体"/>
                <w:u w:val="none"/>
              </w:rPr>
              <w:t>50</w:t>
            </w:r>
            <w:r>
              <w:rPr>
                <w:rFonts w:hint="eastAsia" w:ascii="宋体" w:eastAsia="宋体" w:cs="宋体"/>
                <w:u w:val="none"/>
              </w:rPr>
              <w:t>㎡</w:t>
            </w:r>
            <w:r>
              <w:rPr>
                <w:rFonts w:hint="eastAsia" w:ascii="宋体" w:eastAsia="宋体"/>
                <w:u w:val="none"/>
              </w:rPr>
              <w:t>，用地面积35</w:t>
            </w:r>
            <w:r>
              <w:rPr>
                <w:rFonts w:hint="eastAsia" w:ascii="宋体" w:eastAsia="宋体" w:cs="宋体"/>
                <w:u w:val="none"/>
              </w:rPr>
              <w:t>㎡</w:t>
            </w:r>
            <w:r>
              <w:rPr>
                <w:rFonts w:hint="eastAsia" w:ascii="宋体" w:eastAsia="宋体"/>
                <w:u w:val="none"/>
              </w:rPr>
              <w:t>。</w:t>
            </w: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可结合社区服务中心或街道办事处设置。</w:t>
            </w:r>
            <w:r>
              <w:rPr>
                <w:rFonts w:ascii="宋体" w:eastAsia="宋体"/>
                <w:u w:val="none"/>
              </w:rPr>
              <w:t>独立</w:t>
            </w:r>
            <w:r>
              <w:rPr>
                <w:rFonts w:hint="eastAsia" w:ascii="宋体" w:eastAsia="宋体"/>
                <w:u w:val="none"/>
              </w:rPr>
              <w:t>设置的，应设</w:t>
            </w:r>
            <w:r>
              <w:rPr>
                <w:rFonts w:ascii="宋体" w:eastAsia="宋体"/>
                <w:u w:val="none"/>
              </w:rPr>
              <w:t>露天活动场所不少于400 m</w:t>
            </w:r>
            <w:r>
              <w:rPr>
                <w:rFonts w:hint="eastAsia" w:ascii="宋体" w:eastAsia="宋体"/>
                <w:u w:val="none"/>
              </w:rPr>
              <w:t>²。</w:t>
            </w:r>
          </w:p>
          <w:p>
            <w:pPr>
              <w:pStyle w:val="30"/>
              <w:ind w:firstLine="360" w:firstLineChars="200"/>
              <w:jc w:val="both"/>
              <w:rPr>
                <w:rFonts w:ascii="宋体" w:eastAsia="宋体"/>
                <w:u w:val="none"/>
              </w:rPr>
            </w:pPr>
            <w:r>
              <w:rPr>
                <w:rFonts w:hint="eastAsia" w:ascii="宋体" w:eastAsia="宋体"/>
                <w:u w:val="none"/>
              </w:rPr>
              <w:t>服务内容包括老年人文娱、健身、医疗保健康复等。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531" w:type="dxa"/>
            <w:vMerge w:val="continue"/>
            <w:tcBorders>
              <w:right w:val="single" w:color="auto" w:sz="2" w:space="0"/>
            </w:tcBorders>
            <w:vAlign w:val="center"/>
          </w:tcPr>
          <w:p>
            <w:pPr>
              <w:pStyle w:val="30"/>
              <w:rPr>
                <w:rFonts w:ascii="宋体" w:eastAsia="宋体"/>
                <w:u w:val="none"/>
              </w:rPr>
            </w:pPr>
          </w:p>
        </w:tc>
        <w:tc>
          <w:tcPr>
            <w:tcW w:w="143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托老所</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200～</w:t>
            </w:r>
            <w:r>
              <w:rPr>
                <w:rFonts w:ascii="宋体" w:eastAsia="宋体"/>
                <w:u w:val="none"/>
              </w:rPr>
              <w:t>10</w:t>
            </w:r>
            <w:r>
              <w:rPr>
                <w:rFonts w:hint="eastAsia" w:ascii="宋体" w:eastAsia="宋体"/>
                <w:u w:val="none"/>
              </w:rPr>
              <w:t>00</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1788"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ascii="宋体" w:eastAsia="宋体"/>
                <w:u w:val="none"/>
              </w:rPr>
              <w:t>按每千人</w:t>
            </w:r>
            <w:r>
              <w:rPr>
                <w:rFonts w:hint="eastAsia" w:ascii="宋体" w:eastAsia="宋体"/>
                <w:u w:val="none"/>
              </w:rPr>
              <w:t>配建</w:t>
            </w:r>
            <w:r>
              <w:rPr>
                <w:rFonts w:ascii="宋体" w:eastAsia="宋体"/>
                <w:u w:val="none"/>
              </w:rPr>
              <w:t>建筑面积100</w:t>
            </w:r>
            <w:r>
              <w:rPr>
                <w:rFonts w:hint="eastAsia" w:ascii="宋体" w:eastAsia="宋体" w:cs="宋体"/>
                <w:u w:val="none"/>
              </w:rPr>
              <w:t>㎡。</w:t>
            </w: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不独立用地，可结合老年人服务中心设置，应满足无障碍设计要求。服务内容为老年人日托照管。</w:t>
            </w:r>
          </w:p>
        </w:tc>
      </w:tr>
    </w:tbl>
    <w:p/>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居住用地公共服务设施设置标准（续表）</w:t>
      </w:r>
    </w:p>
    <w:tbl>
      <w:tblPr>
        <w:tblStyle w:val="18"/>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43"/>
        <w:gridCol w:w="1239"/>
        <w:gridCol w:w="1239"/>
        <w:gridCol w:w="1124"/>
        <w:gridCol w:w="1796"/>
        <w:gridCol w:w="376"/>
        <w:gridCol w:w="376"/>
        <w:gridCol w:w="376"/>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blHeader/>
        </w:trPr>
        <w:tc>
          <w:tcPr>
            <w:tcW w:w="536" w:type="dxa"/>
            <w:vMerge w:val="restart"/>
            <w:tcBorders>
              <w:right w:val="single" w:color="auto" w:sz="2" w:space="0"/>
            </w:tcBorders>
            <w:vAlign w:val="center"/>
          </w:tcPr>
          <w:p>
            <w:pPr>
              <w:pStyle w:val="29"/>
              <w:rPr>
                <w:rFonts w:ascii="宋体" w:eastAsia="宋体"/>
              </w:rPr>
            </w:pPr>
            <w:r>
              <w:rPr>
                <w:rFonts w:hint="eastAsia" w:ascii="宋体" w:eastAsia="宋体"/>
              </w:rPr>
              <w:t>类</w:t>
            </w:r>
          </w:p>
          <w:p>
            <w:pPr>
              <w:pStyle w:val="29"/>
              <w:rPr>
                <w:rFonts w:ascii="宋体" w:eastAsia="宋体"/>
              </w:rPr>
            </w:pPr>
          </w:p>
          <w:p>
            <w:pPr>
              <w:pStyle w:val="29"/>
              <w:rPr>
                <w:rFonts w:ascii="宋体" w:eastAsia="宋体"/>
              </w:rPr>
            </w:pPr>
            <w:r>
              <w:rPr>
                <w:rFonts w:hint="eastAsia" w:ascii="宋体" w:eastAsia="宋体"/>
              </w:rPr>
              <w:t>别</w:t>
            </w:r>
          </w:p>
        </w:tc>
        <w:tc>
          <w:tcPr>
            <w:tcW w:w="1443"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项 目 名 称</w:t>
            </w:r>
          </w:p>
        </w:tc>
        <w:tc>
          <w:tcPr>
            <w:tcW w:w="2478" w:type="dxa"/>
            <w:gridSpan w:val="2"/>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一般规模（m²/处）</w:t>
            </w:r>
          </w:p>
        </w:tc>
        <w:tc>
          <w:tcPr>
            <w:tcW w:w="1124"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服务规模</w:t>
            </w:r>
          </w:p>
          <w:p>
            <w:pPr>
              <w:pStyle w:val="29"/>
              <w:rPr>
                <w:rFonts w:ascii="宋体" w:eastAsia="宋体"/>
              </w:rPr>
            </w:pPr>
            <w:r>
              <w:rPr>
                <w:rFonts w:hint="eastAsia" w:ascii="宋体" w:eastAsia="宋体"/>
              </w:rPr>
              <w:t>（万人）</w:t>
            </w:r>
          </w:p>
        </w:tc>
        <w:tc>
          <w:tcPr>
            <w:tcW w:w="1796"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规 定</w:t>
            </w:r>
          </w:p>
        </w:tc>
        <w:tc>
          <w:tcPr>
            <w:tcW w:w="1128" w:type="dxa"/>
            <w:gridSpan w:val="3"/>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级 别</w:t>
            </w:r>
          </w:p>
        </w:tc>
        <w:tc>
          <w:tcPr>
            <w:tcW w:w="5175"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blHeader/>
        </w:trPr>
        <w:tc>
          <w:tcPr>
            <w:tcW w:w="536" w:type="dxa"/>
            <w:vMerge w:val="continue"/>
            <w:tcBorders>
              <w:right w:val="single" w:color="auto" w:sz="2" w:space="0"/>
            </w:tcBorders>
            <w:vAlign w:val="center"/>
          </w:tcPr>
          <w:p>
            <w:pPr>
              <w:pStyle w:val="29"/>
              <w:rPr>
                <w:rFonts w:ascii="宋体" w:eastAsia="宋体"/>
              </w:rPr>
            </w:pPr>
          </w:p>
        </w:tc>
        <w:tc>
          <w:tcPr>
            <w:tcW w:w="1443"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239"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建 筑 面 积</w:t>
            </w:r>
          </w:p>
        </w:tc>
        <w:tc>
          <w:tcPr>
            <w:tcW w:w="1239"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用 地 面 积</w:t>
            </w:r>
          </w:p>
        </w:tc>
        <w:tc>
          <w:tcPr>
            <w:tcW w:w="1124"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796"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片区级</w:t>
            </w: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居住区级</w:t>
            </w: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小区级</w:t>
            </w:r>
          </w:p>
        </w:tc>
        <w:tc>
          <w:tcPr>
            <w:tcW w:w="5175"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536" w:type="dxa"/>
            <w:vMerge w:val="restart"/>
            <w:tcBorders>
              <w:right w:val="single" w:color="auto" w:sz="2" w:space="0"/>
            </w:tcBorders>
            <w:vAlign w:val="center"/>
          </w:tcPr>
          <w:p>
            <w:pPr>
              <w:pStyle w:val="30"/>
              <w:rPr>
                <w:rFonts w:ascii="宋体" w:eastAsia="宋体"/>
                <w:b/>
                <w:u w:val="none"/>
              </w:rPr>
            </w:pPr>
            <w:r>
              <w:rPr>
                <w:rFonts w:hint="eastAsia" w:ascii="宋体" w:eastAsia="宋体"/>
                <w:b/>
                <w:snapToGrid/>
                <w:u w:val="none"/>
              </w:rPr>
              <mc:AlternateContent>
                <mc:Choice Requires="wps">
                  <w:drawing>
                    <wp:anchor distT="0" distB="0" distL="114300" distR="114300" simplePos="0" relativeHeight="251661312" behindDoc="0" locked="0" layoutInCell="1" allowOverlap="1">
                      <wp:simplePos x="0" y="0"/>
                      <wp:positionH relativeFrom="column">
                        <wp:posOffset>-468630</wp:posOffset>
                      </wp:positionH>
                      <wp:positionV relativeFrom="paragraph">
                        <wp:posOffset>400050</wp:posOffset>
                      </wp:positionV>
                      <wp:extent cx="333375" cy="462915"/>
                      <wp:effectExtent l="0" t="0" r="4445" b="4445"/>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333375" cy="462915"/>
                              </a:xfrm>
                              <a:prstGeom prst="rect">
                                <a:avLst/>
                              </a:prstGeom>
                              <a:solidFill>
                                <a:srgbClr val="FFFFFF"/>
                              </a:solidFill>
                              <a:ln>
                                <a:noFill/>
                              </a:ln>
                            </wps:spPr>
                            <wps:txbx>
                              <w:txbxContent>
                                <w:p>
                                  <w:pPr>
                                    <w:rPr>
                                      <w:szCs w:val="21"/>
                                    </w:rPr>
                                  </w:pPr>
                                </w:p>
                              </w:txbxContent>
                            </wps:txbx>
                            <wps:bodyPr rot="0" vert="eaVert" wrap="square" lIns="91440" tIns="45720" rIns="91440" bIns="45720" anchor="t" anchorCtr="0" upright="1">
                              <a:noAutofit/>
                            </wps:bodyPr>
                          </wps:wsp>
                        </a:graphicData>
                      </a:graphic>
                    </wp:anchor>
                  </w:drawing>
                </mc:Choice>
                <mc:Fallback>
                  <w:pict>
                    <v:shape id="Text Box 5" o:spid="_x0000_s1026" o:spt="202" type="#_x0000_t202" style="position:absolute;left:0pt;margin-left:-36.9pt;margin-top:31.5pt;height:36.45pt;width:26.25pt;z-index:251661312;mso-width-relative:page;mso-height-relative:page;" fillcolor="#FFFFFF" filled="t" stroked="f" coordsize="21600,21600" o:gfxdata="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cE2O2QAAAAoB&#10;AAAPAAAAAAAAAAEAIAAAACIAAABkcnMvZG93bnJldi54bWxQSwECFAAUAAAACACHTuJA5mcjrxoC&#10;AAA+BAAADgAAAAAAAAABACAAAAAoAQAAZHJzL2Uyb0RvYy54bWxQSwUGAAAAAAYABgBZAQAAtAUA&#10;AAAA&#10;">
                      <v:fill on="t" focussize="0,0"/>
                      <v:stroke on="f"/>
                      <v:imagedata o:title=""/>
                      <o:lock v:ext="edit" aspectratio="f"/>
                      <v:textbox style="layout-flow:vertical-ideographic;">
                        <w:txbxContent>
                          <w:p>
                            <w:pPr>
                              <w:rPr>
                                <w:szCs w:val="21"/>
                              </w:rPr>
                            </w:pPr>
                          </w:p>
                        </w:txbxContent>
                      </v:textbox>
                    </v:shape>
                  </w:pict>
                </mc:Fallback>
              </mc:AlternateContent>
            </w:r>
            <w:r>
              <w:rPr>
                <w:rFonts w:hint="eastAsia" w:ascii="宋体" w:eastAsia="宋体"/>
                <w:b/>
                <w:u w:val="none"/>
              </w:rPr>
              <w:t>社区服务与行政管理设施</w:t>
            </w:r>
          </w:p>
        </w:tc>
        <w:tc>
          <w:tcPr>
            <w:tcW w:w="1443" w:type="dxa"/>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街道办事处</w:t>
            </w:r>
          </w:p>
        </w:tc>
        <w:tc>
          <w:tcPr>
            <w:tcW w:w="1239" w:type="dxa"/>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800～1200</w:t>
            </w:r>
          </w:p>
        </w:tc>
        <w:tc>
          <w:tcPr>
            <w:tcW w:w="1239" w:type="dxa"/>
            <w:tcBorders>
              <w:top w:val="single" w:color="auto" w:sz="2" w:space="0"/>
              <w:left w:val="single" w:color="auto" w:sz="2" w:space="0"/>
              <w:right w:val="single" w:color="auto" w:sz="2" w:space="0"/>
            </w:tcBorders>
            <w:vAlign w:val="center"/>
          </w:tcPr>
          <w:p>
            <w:pPr>
              <w:pStyle w:val="30"/>
              <w:rPr>
                <w:rFonts w:ascii="宋体" w:eastAsia="宋体"/>
                <w:i/>
                <w:u w:val="none"/>
              </w:rPr>
            </w:pPr>
          </w:p>
        </w:tc>
        <w:tc>
          <w:tcPr>
            <w:tcW w:w="1124" w:type="dxa"/>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5～10</w:t>
            </w:r>
          </w:p>
        </w:tc>
        <w:tc>
          <w:tcPr>
            <w:tcW w:w="1796" w:type="dxa"/>
            <w:tcBorders>
              <w:top w:val="single" w:color="auto" w:sz="2" w:space="0"/>
              <w:left w:val="single" w:color="auto" w:sz="2" w:space="0"/>
              <w:right w:val="single" w:color="auto" w:sz="2" w:space="0"/>
            </w:tcBorders>
            <w:vAlign w:val="center"/>
          </w:tcPr>
          <w:p>
            <w:pPr>
              <w:pStyle w:val="30"/>
              <w:rPr>
                <w:rFonts w:ascii="宋体" w:eastAsia="宋体"/>
                <w:b/>
                <w:u w:val="none"/>
              </w:rPr>
            </w:pPr>
            <w:r>
              <w:rPr>
                <w:rFonts w:hint="eastAsia" w:ascii="宋体" w:eastAsia="宋体"/>
                <w:u w:val="none"/>
              </w:rPr>
              <w:t>每街道设一处。</w:t>
            </w:r>
          </w:p>
        </w:tc>
        <w:tc>
          <w:tcPr>
            <w:tcW w:w="376" w:type="dxa"/>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76" w:type="dxa"/>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76" w:type="dxa"/>
            <w:tcBorders>
              <w:top w:val="single" w:color="auto" w:sz="2" w:space="0"/>
              <w:left w:val="single" w:color="auto" w:sz="2" w:space="0"/>
              <w:right w:val="single" w:color="auto" w:sz="2" w:space="0"/>
            </w:tcBorders>
            <w:vAlign w:val="center"/>
          </w:tcPr>
          <w:p>
            <w:pPr>
              <w:pStyle w:val="30"/>
              <w:rPr>
                <w:rFonts w:ascii="宋体" w:eastAsia="宋体"/>
                <w:u w:val="none"/>
              </w:rPr>
            </w:pPr>
          </w:p>
        </w:tc>
        <w:tc>
          <w:tcPr>
            <w:tcW w:w="5175" w:type="dxa"/>
            <w:tcBorders>
              <w:top w:val="single" w:color="auto" w:sz="2" w:space="0"/>
              <w:left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 xml:space="preserve">宜与派出所、市政及其它管理用房及社区服务中心合设形成管理服务中心。宜设于首层，结合其它建筑设置的，应保证首层不少于400 </w:t>
            </w:r>
            <w:r>
              <w:rPr>
                <w:rFonts w:hint="eastAsia" w:ascii="宋体" w:eastAsia="宋体" w:cs="宋体"/>
                <w:u w:val="none"/>
              </w:rPr>
              <w:t>㎡</w:t>
            </w:r>
            <w:r>
              <w:rPr>
                <w:rFonts w:hint="eastAsia" w:ascii="宋体" w:eastAsia="宋体"/>
                <w:u w:val="none"/>
              </w:rPr>
              <w:t xml:space="preserve"> 的使用面积，且有对外方便的出入口。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536" w:type="dxa"/>
            <w:vMerge w:val="continue"/>
            <w:tcBorders>
              <w:right w:val="single" w:color="auto" w:sz="2" w:space="0"/>
            </w:tcBorders>
            <w:vAlign w:val="center"/>
          </w:tcPr>
          <w:p>
            <w:pPr>
              <w:pStyle w:val="30"/>
              <w:rPr>
                <w:rFonts w:ascii="宋体" w:eastAsia="宋体"/>
                <w:u w:val="none"/>
              </w:rPr>
            </w:pPr>
          </w:p>
        </w:tc>
        <w:tc>
          <w:tcPr>
            <w:tcW w:w="1443" w:type="dxa"/>
            <w:tcBorders>
              <w:top w:val="single" w:color="auto" w:sz="4" w:space="0"/>
              <w:left w:val="single" w:color="auto" w:sz="2" w:space="0"/>
            </w:tcBorders>
            <w:vAlign w:val="center"/>
          </w:tcPr>
          <w:p>
            <w:pPr>
              <w:pStyle w:val="30"/>
              <w:rPr>
                <w:rFonts w:ascii="宋体" w:eastAsia="宋体"/>
                <w:u w:val="none"/>
              </w:rPr>
            </w:pPr>
            <w:r>
              <w:rPr>
                <w:rFonts w:hint="eastAsia" w:ascii="宋体" w:eastAsia="宋体"/>
                <w:u w:val="none"/>
              </w:rPr>
              <w:t>派出所</w:t>
            </w:r>
          </w:p>
        </w:tc>
        <w:tc>
          <w:tcPr>
            <w:tcW w:w="1239" w:type="dxa"/>
            <w:tcBorders>
              <w:top w:val="single" w:color="auto" w:sz="2" w:space="0"/>
            </w:tcBorders>
            <w:vAlign w:val="center"/>
          </w:tcPr>
          <w:p>
            <w:pPr>
              <w:pStyle w:val="30"/>
              <w:rPr>
                <w:rFonts w:ascii="宋体" w:eastAsia="宋体"/>
                <w:u w:val="none"/>
              </w:rPr>
            </w:pPr>
            <w:r>
              <w:rPr>
                <w:rFonts w:hint="eastAsia" w:ascii="宋体" w:eastAsia="宋体"/>
                <w:u w:val="none"/>
              </w:rPr>
              <w:t>1000～1500</w:t>
            </w:r>
          </w:p>
        </w:tc>
        <w:tc>
          <w:tcPr>
            <w:tcW w:w="1239" w:type="dxa"/>
            <w:tcBorders>
              <w:top w:val="single" w:color="auto" w:sz="2" w:space="0"/>
            </w:tcBorders>
            <w:vAlign w:val="center"/>
          </w:tcPr>
          <w:p>
            <w:pPr>
              <w:pStyle w:val="30"/>
              <w:rPr>
                <w:rFonts w:ascii="宋体" w:eastAsia="宋体"/>
                <w:b/>
                <w:u w:val="none"/>
              </w:rPr>
            </w:pPr>
            <w:r>
              <w:rPr>
                <w:rFonts w:hint="eastAsia" w:ascii="宋体" w:eastAsia="宋体"/>
                <w:u w:val="none"/>
              </w:rPr>
              <w:t>1200～1800</w:t>
            </w:r>
          </w:p>
        </w:tc>
        <w:tc>
          <w:tcPr>
            <w:tcW w:w="1124" w:type="dxa"/>
            <w:tcBorders>
              <w:top w:val="single" w:color="auto" w:sz="2" w:space="0"/>
            </w:tcBorders>
            <w:vAlign w:val="center"/>
          </w:tcPr>
          <w:p>
            <w:pPr>
              <w:pStyle w:val="30"/>
              <w:rPr>
                <w:rFonts w:ascii="宋体" w:eastAsia="宋体"/>
                <w:u w:val="none"/>
              </w:rPr>
            </w:pPr>
            <w:r>
              <w:rPr>
                <w:rFonts w:hint="eastAsia" w:ascii="宋体" w:eastAsia="宋体"/>
                <w:u w:val="none"/>
              </w:rPr>
              <w:t>5～10</w:t>
            </w:r>
          </w:p>
        </w:tc>
        <w:tc>
          <w:tcPr>
            <w:tcW w:w="1796" w:type="dxa"/>
            <w:tcBorders>
              <w:top w:val="single" w:color="auto" w:sz="2" w:space="0"/>
            </w:tcBorders>
            <w:vAlign w:val="center"/>
          </w:tcPr>
          <w:p>
            <w:pPr>
              <w:pStyle w:val="30"/>
              <w:rPr>
                <w:rFonts w:ascii="宋体" w:eastAsia="宋体"/>
                <w:u w:val="none"/>
              </w:rPr>
            </w:pPr>
            <w:r>
              <w:rPr>
                <w:rFonts w:hint="eastAsia" w:ascii="宋体" w:eastAsia="宋体"/>
                <w:u w:val="none"/>
              </w:rPr>
              <w:t>每街道设一处。</w:t>
            </w:r>
          </w:p>
        </w:tc>
        <w:tc>
          <w:tcPr>
            <w:tcW w:w="376" w:type="dxa"/>
            <w:tcBorders>
              <w:top w:val="single" w:color="auto" w:sz="2" w:space="0"/>
            </w:tcBorders>
            <w:vAlign w:val="center"/>
          </w:tcPr>
          <w:p>
            <w:pPr>
              <w:pStyle w:val="30"/>
              <w:rPr>
                <w:rFonts w:ascii="宋体" w:eastAsia="宋体"/>
                <w:u w:val="none"/>
              </w:rPr>
            </w:pPr>
            <w:r>
              <w:rPr>
                <w:rFonts w:hint="eastAsia" w:ascii="宋体" w:eastAsia="宋体"/>
                <w:u w:val="none"/>
              </w:rPr>
              <w:t>▲</w:t>
            </w:r>
          </w:p>
        </w:tc>
        <w:tc>
          <w:tcPr>
            <w:tcW w:w="376" w:type="dxa"/>
            <w:tcBorders>
              <w:top w:val="single" w:color="auto" w:sz="2" w:space="0"/>
            </w:tcBorders>
            <w:vAlign w:val="center"/>
          </w:tcPr>
          <w:p>
            <w:pPr>
              <w:pStyle w:val="30"/>
              <w:rPr>
                <w:rFonts w:ascii="宋体" w:eastAsia="宋体"/>
                <w:u w:val="none"/>
              </w:rPr>
            </w:pPr>
            <w:r>
              <w:rPr>
                <w:rFonts w:hint="eastAsia" w:ascii="宋体" w:eastAsia="宋体"/>
                <w:u w:val="none"/>
              </w:rPr>
              <w:t>△</w:t>
            </w:r>
          </w:p>
        </w:tc>
        <w:tc>
          <w:tcPr>
            <w:tcW w:w="376" w:type="dxa"/>
            <w:tcBorders>
              <w:top w:val="single" w:color="auto" w:sz="2" w:space="0"/>
            </w:tcBorders>
            <w:vAlign w:val="center"/>
          </w:tcPr>
          <w:p>
            <w:pPr>
              <w:pStyle w:val="30"/>
              <w:rPr>
                <w:rFonts w:ascii="宋体" w:eastAsia="宋体"/>
                <w:u w:val="none"/>
              </w:rPr>
            </w:pPr>
          </w:p>
        </w:tc>
        <w:tc>
          <w:tcPr>
            <w:tcW w:w="5175" w:type="dxa"/>
            <w:tcBorders>
              <w:top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 xml:space="preserve">宜与街道办事处、市政及其它管理用房及社区服务中心合设形成管理服务中心。应规划在主要或次要街道旁，或在可以通汽车的内街，并保证400-600 </w:t>
            </w:r>
            <w:r>
              <w:rPr>
                <w:rFonts w:hint="eastAsia" w:ascii="宋体" w:eastAsia="宋体" w:cs="宋体"/>
                <w:u w:val="none"/>
              </w:rPr>
              <w:t>㎡</w:t>
            </w:r>
            <w:r>
              <w:rPr>
                <w:rFonts w:hint="eastAsia" w:ascii="宋体" w:eastAsia="宋体"/>
                <w:u w:val="none"/>
              </w:rPr>
              <w:t xml:space="preserve">的独立室外场地面积。宜设于建筑首层，结合其它建筑设置的，应保证首层不少于400 </w:t>
            </w:r>
            <w:r>
              <w:rPr>
                <w:rFonts w:hint="eastAsia" w:ascii="宋体" w:eastAsia="宋体" w:cs="宋体"/>
                <w:u w:val="none"/>
              </w:rPr>
              <w:t>㎡</w:t>
            </w:r>
            <w:r>
              <w:rPr>
                <w:rFonts w:hint="eastAsia" w:ascii="宋体" w:eastAsia="宋体"/>
                <w:u w:val="none"/>
              </w:rPr>
              <w:t xml:space="preserve"> 的使用面积，且有对外方便的出入口。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36" w:type="dxa"/>
            <w:vMerge w:val="continue"/>
            <w:tcBorders>
              <w:right w:val="single" w:color="auto" w:sz="2" w:space="0"/>
            </w:tcBorders>
            <w:vAlign w:val="center"/>
          </w:tcPr>
          <w:p>
            <w:pPr>
              <w:pStyle w:val="30"/>
              <w:rPr>
                <w:rFonts w:ascii="宋体" w:eastAsia="宋体"/>
                <w:u w:val="none"/>
              </w:rPr>
            </w:pPr>
          </w:p>
        </w:tc>
        <w:tc>
          <w:tcPr>
            <w:tcW w:w="1443" w:type="dxa"/>
            <w:tcBorders>
              <w:left w:val="single" w:color="auto" w:sz="2" w:space="0"/>
            </w:tcBorders>
            <w:vAlign w:val="center"/>
          </w:tcPr>
          <w:p>
            <w:pPr>
              <w:pStyle w:val="30"/>
              <w:rPr>
                <w:rFonts w:ascii="宋体" w:eastAsia="宋体"/>
                <w:u w:val="none"/>
              </w:rPr>
            </w:pPr>
            <w:r>
              <w:rPr>
                <w:rFonts w:hint="eastAsia" w:ascii="宋体" w:eastAsia="宋体"/>
                <w:u w:val="none"/>
              </w:rPr>
              <w:t>市政及其它</w:t>
            </w:r>
          </w:p>
          <w:p>
            <w:pPr>
              <w:pStyle w:val="30"/>
              <w:rPr>
                <w:rFonts w:ascii="宋体" w:eastAsia="宋体"/>
                <w:u w:val="none"/>
              </w:rPr>
            </w:pPr>
            <w:r>
              <w:rPr>
                <w:rFonts w:hint="eastAsia" w:ascii="宋体" w:eastAsia="宋体"/>
                <w:u w:val="none"/>
              </w:rPr>
              <w:t>管理用房</w:t>
            </w:r>
          </w:p>
        </w:tc>
        <w:tc>
          <w:tcPr>
            <w:tcW w:w="1239" w:type="dxa"/>
            <w:vAlign w:val="center"/>
          </w:tcPr>
          <w:p>
            <w:pPr>
              <w:pStyle w:val="30"/>
              <w:rPr>
                <w:rFonts w:ascii="宋体" w:eastAsia="宋体"/>
                <w:u w:val="none"/>
              </w:rPr>
            </w:pPr>
            <w:r>
              <w:rPr>
                <w:rFonts w:hint="eastAsia" w:ascii="宋体" w:eastAsia="宋体"/>
                <w:u w:val="none"/>
              </w:rPr>
              <w:t>600</w:t>
            </w:r>
          </w:p>
        </w:tc>
        <w:tc>
          <w:tcPr>
            <w:tcW w:w="1239" w:type="dxa"/>
            <w:vAlign w:val="center"/>
          </w:tcPr>
          <w:p>
            <w:pPr>
              <w:pStyle w:val="30"/>
              <w:rPr>
                <w:rFonts w:ascii="宋体" w:eastAsia="宋体"/>
                <w:u w:val="none"/>
              </w:rPr>
            </w:pPr>
          </w:p>
        </w:tc>
        <w:tc>
          <w:tcPr>
            <w:tcW w:w="1124" w:type="dxa"/>
            <w:vAlign w:val="center"/>
          </w:tcPr>
          <w:p>
            <w:pPr>
              <w:pStyle w:val="30"/>
              <w:rPr>
                <w:rFonts w:ascii="宋体" w:eastAsia="宋体"/>
                <w:u w:val="none"/>
              </w:rPr>
            </w:pPr>
            <w:r>
              <w:rPr>
                <w:rFonts w:hint="eastAsia" w:ascii="宋体" w:eastAsia="宋体"/>
                <w:u w:val="none"/>
              </w:rPr>
              <w:t>5～10</w:t>
            </w:r>
          </w:p>
        </w:tc>
        <w:tc>
          <w:tcPr>
            <w:tcW w:w="1796" w:type="dxa"/>
            <w:vAlign w:val="center"/>
          </w:tcPr>
          <w:p>
            <w:pPr>
              <w:pStyle w:val="30"/>
              <w:rPr>
                <w:rFonts w:ascii="宋体" w:eastAsia="宋体"/>
                <w:u w:val="none"/>
              </w:rPr>
            </w:pPr>
            <w:r>
              <w:rPr>
                <w:rFonts w:hint="eastAsia" w:ascii="宋体" w:eastAsia="宋体"/>
                <w:u w:val="none"/>
              </w:rPr>
              <w:t>每街道设一处。</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宜与街道办事处、派出所及社区服务中心形成管理服务中心。宜设于首层，结合其它建筑设置的，应保证1/2以上的面积设在首层。包括燃气、电信、电视、供电、供水、雨污水、环卫、绿化以及工商、税务等管理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536" w:type="dxa"/>
            <w:vMerge w:val="continue"/>
            <w:tcBorders>
              <w:right w:val="single" w:color="auto" w:sz="2" w:space="0"/>
            </w:tcBorders>
            <w:vAlign w:val="center"/>
          </w:tcPr>
          <w:p>
            <w:pPr>
              <w:pStyle w:val="30"/>
              <w:rPr>
                <w:rFonts w:ascii="宋体" w:eastAsia="宋体"/>
                <w:u w:val="none"/>
              </w:rPr>
            </w:pPr>
          </w:p>
        </w:tc>
        <w:tc>
          <w:tcPr>
            <w:tcW w:w="1443" w:type="dxa"/>
            <w:tcBorders>
              <w:left w:val="single" w:color="auto" w:sz="2" w:space="0"/>
            </w:tcBorders>
            <w:vAlign w:val="center"/>
          </w:tcPr>
          <w:p>
            <w:pPr>
              <w:pStyle w:val="30"/>
              <w:rPr>
                <w:rFonts w:ascii="宋体" w:eastAsia="宋体"/>
                <w:u w:val="none"/>
              </w:rPr>
            </w:pPr>
            <w:r>
              <w:rPr>
                <w:rFonts w:hint="eastAsia" w:ascii="宋体" w:eastAsia="宋体"/>
                <w:u w:val="none"/>
              </w:rPr>
              <w:t>社区服务中心</w:t>
            </w:r>
          </w:p>
        </w:tc>
        <w:tc>
          <w:tcPr>
            <w:tcW w:w="1239" w:type="dxa"/>
            <w:vAlign w:val="center"/>
          </w:tcPr>
          <w:p>
            <w:pPr>
              <w:pStyle w:val="30"/>
              <w:rPr>
                <w:rFonts w:ascii="宋体" w:eastAsia="宋体"/>
                <w:u w:val="none"/>
              </w:rPr>
            </w:pPr>
            <w:r>
              <w:rPr>
                <w:rFonts w:hint="eastAsia" w:ascii="宋体" w:eastAsia="宋体"/>
                <w:u w:val="none"/>
              </w:rPr>
              <w:t>750～1500</w:t>
            </w:r>
          </w:p>
        </w:tc>
        <w:tc>
          <w:tcPr>
            <w:tcW w:w="1239" w:type="dxa"/>
            <w:vAlign w:val="center"/>
          </w:tcPr>
          <w:p>
            <w:pPr>
              <w:pStyle w:val="30"/>
              <w:rPr>
                <w:rFonts w:ascii="宋体" w:eastAsia="宋体"/>
                <w:u w:val="none"/>
              </w:rPr>
            </w:pPr>
          </w:p>
        </w:tc>
        <w:tc>
          <w:tcPr>
            <w:tcW w:w="1124" w:type="dxa"/>
            <w:vAlign w:val="center"/>
          </w:tcPr>
          <w:p>
            <w:pPr>
              <w:pStyle w:val="30"/>
              <w:rPr>
                <w:rFonts w:ascii="宋体" w:eastAsia="宋体"/>
                <w:u w:val="none"/>
              </w:rPr>
            </w:pPr>
            <w:r>
              <w:rPr>
                <w:rFonts w:hint="eastAsia" w:ascii="宋体" w:eastAsia="宋体"/>
                <w:u w:val="none"/>
              </w:rPr>
              <w:t>5～10</w:t>
            </w:r>
          </w:p>
        </w:tc>
        <w:tc>
          <w:tcPr>
            <w:tcW w:w="1796" w:type="dxa"/>
            <w:vAlign w:val="center"/>
          </w:tcPr>
          <w:p>
            <w:pPr>
              <w:pStyle w:val="30"/>
              <w:jc w:val="both"/>
              <w:rPr>
                <w:rFonts w:ascii="宋体" w:eastAsia="宋体"/>
                <w:u w:val="none"/>
              </w:rPr>
            </w:pPr>
            <w:r>
              <w:rPr>
                <w:rFonts w:hint="eastAsia" w:ascii="宋体" w:eastAsia="宋体"/>
                <w:u w:val="none"/>
              </w:rPr>
              <w:t>每街道设一处，按千人指标控制。千人建筑面积150</w:t>
            </w:r>
            <w:r>
              <w:rPr>
                <w:rFonts w:hint="eastAsia" w:ascii="宋体" w:eastAsia="宋体" w:cs="宋体"/>
                <w:u w:val="none"/>
              </w:rPr>
              <w:t>㎡</w:t>
            </w: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宜与街道办事处、派出所及市政及其它管理用房形成管理服务中心。宜设于首层，结合其它建筑设置的，应保证1/2以上的面积设在首层。设助残、家政服务、计划生育宣传咨询、婚姻中介等社会救助和便民利民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536" w:type="dxa"/>
            <w:vMerge w:val="continue"/>
            <w:tcBorders>
              <w:right w:val="single" w:color="auto" w:sz="2" w:space="0"/>
            </w:tcBorders>
            <w:vAlign w:val="center"/>
          </w:tcPr>
          <w:p>
            <w:pPr>
              <w:pStyle w:val="30"/>
              <w:rPr>
                <w:rFonts w:ascii="宋体" w:eastAsia="宋体"/>
                <w:u w:val="none"/>
              </w:rPr>
            </w:pPr>
          </w:p>
        </w:tc>
        <w:tc>
          <w:tcPr>
            <w:tcW w:w="1443" w:type="dxa"/>
            <w:tcBorders>
              <w:left w:val="single" w:color="auto" w:sz="2" w:space="0"/>
            </w:tcBorders>
            <w:vAlign w:val="center"/>
          </w:tcPr>
          <w:p>
            <w:pPr>
              <w:pStyle w:val="30"/>
              <w:rPr>
                <w:rFonts w:ascii="宋体" w:eastAsia="宋体"/>
                <w:u w:val="none"/>
              </w:rPr>
            </w:pPr>
            <w:r>
              <w:rPr>
                <w:rFonts w:hint="eastAsia" w:ascii="宋体" w:eastAsia="宋体"/>
                <w:u w:val="none"/>
              </w:rPr>
              <w:t>社区居委会</w:t>
            </w:r>
          </w:p>
        </w:tc>
        <w:tc>
          <w:tcPr>
            <w:tcW w:w="1239" w:type="dxa"/>
            <w:vAlign w:val="center"/>
          </w:tcPr>
          <w:p>
            <w:pPr>
              <w:pStyle w:val="30"/>
              <w:rPr>
                <w:rFonts w:ascii="宋体" w:eastAsia="宋体"/>
                <w:u w:val="none"/>
              </w:rPr>
            </w:pPr>
            <w:r>
              <w:rPr>
                <w:rFonts w:hint="eastAsia" w:ascii="宋体" w:eastAsia="宋体"/>
                <w:u w:val="none"/>
              </w:rPr>
              <w:t>100</w:t>
            </w:r>
          </w:p>
        </w:tc>
        <w:tc>
          <w:tcPr>
            <w:tcW w:w="1239" w:type="dxa"/>
            <w:vAlign w:val="center"/>
          </w:tcPr>
          <w:p>
            <w:pPr>
              <w:pStyle w:val="30"/>
              <w:rPr>
                <w:rFonts w:ascii="宋体" w:eastAsia="宋体"/>
                <w:u w:val="none"/>
              </w:rPr>
            </w:pPr>
          </w:p>
        </w:tc>
        <w:tc>
          <w:tcPr>
            <w:tcW w:w="1124" w:type="dxa"/>
            <w:vAlign w:val="center"/>
          </w:tcPr>
          <w:p>
            <w:pPr>
              <w:pStyle w:val="30"/>
              <w:rPr>
                <w:rFonts w:ascii="宋体" w:eastAsia="宋体"/>
                <w:u w:val="none"/>
              </w:rPr>
            </w:pPr>
            <w:r>
              <w:rPr>
                <w:rFonts w:hint="eastAsia" w:ascii="宋体" w:eastAsia="宋体"/>
                <w:u w:val="none"/>
              </w:rPr>
              <w:t>0.6～0.75</w:t>
            </w:r>
          </w:p>
        </w:tc>
        <w:tc>
          <w:tcPr>
            <w:tcW w:w="1796" w:type="dxa"/>
            <w:vAlign w:val="center"/>
          </w:tcPr>
          <w:p>
            <w:pPr>
              <w:pStyle w:val="30"/>
              <w:jc w:val="both"/>
              <w:rPr>
                <w:rFonts w:ascii="宋体" w:eastAsia="宋体"/>
                <w:u w:val="none"/>
              </w:rPr>
            </w:pPr>
            <w:r>
              <w:rPr>
                <w:rFonts w:hint="eastAsia" w:ascii="宋体" w:eastAsia="宋体"/>
                <w:u w:val="none"/>
              </w:rPr>
              <w:t>每2000户设一处</w:t>
            </w:r>
          </w:p>
          <w:p>
            <w:pPr>
              <w:pStyle w:val="30"/>
              <w:jc w:val="both"/>
              <w:rPr>
                <w:rFonts w:ascii="宋体" w:eastAsia="宋体"/>
                <w:u w:val="none"/>
              </w:rPr>
            </w:pPr>
            <w:r>
              <w:rPr>
                <w:rFonts w:hint="eastAsia" w:ascii="宋体" w:eastAsia="宋体"/>
                <w:u w:val="none"/>
              </w:rPr>
              <w:t>社区居委会。</w:t>
            </w: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 xml:space="preserve">宜设于小区中心，结合或靠近同级中心绿地安排，可结合其他建筑设置。含85 </w:t>
            </w:r>
            <w:r>
              <w:rPr>
                <w:rFonts w:hint="eastAsia" w:ascii="宋体" w:eastAsia="宋体" w:cs="宋体"/>
                <w:u w:val="none"/>
              </w:rPr>
              <w:t>㎡</w:t>
            </w:r>
            <w:r>
              <w:rPr>
                <w:rFonts w:hint="eastAsia" w:ascii="宋体" w:eastAsia="宋体"/>
                <w:u w:val="none"/>
              </w:rPr>
              <w:t xml:space="preserve">居委会办公用房及15 </w:t>
            </w:r>
            <w:r>
              <w:rPr>
                <w:rFonts w:hint="eastAsia" w:ascii="宋体" w:eastAsia="宋体" w:cs="宋体"/>
                <w:u w:val="none"/>
              </w:rPr>
              <w:t>㎡</w:t>
            </w:r>
            <w:r>
              <w:rPr>
                <w:rFonts w:hint="eastAsia" w:ascii="宋体" w:eastAsia="宋体"/>
                <w:u w:val="none"/>
              </w:rPr>
              <w:t>社区警务室。居委会用房可结合其它建筑设置，但应设于建筑首层，居委会用房产权应无偿移交所在地的区政府。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536" w:type="dxa"/>
            <w:vMerge w:val="continue"/>
            <w:tcBorders>
              <w:right w:val="single" w:color="auto" w:sz="2" w:space="0"/>
            </w:tcBorders>
            <w:vAlign w:val="center"/>
          </w:tcPr>
          <w:p>
            <w:pPr>
              <w:pStyle w:val="30"/>
              <w:rPr>
                <w:rFonts w:ascii="宋体" w:eastAsia="宋体"/>
                <w:u w:val="none"/>
              </w:rPr>
            </w:pPr>
          </w:p>
        </w:tc>
        <w:tc>
          <w:tcPr>
            <w:tcW w:w="1443" w:type="dxa"/>
            <w:tcBorders>
              <w:left w:val="single" w:color="auto" w:sz="2" w:space="0"/>
            </w:tcBorders>
            <w:vAlign w:val="center"/>
          </w:tcPr>
          <w:p>
            <w:pPr>
              <w:pStyle w:val="30"/>
              <w:rPr>
                <w:rFonts w:ascii="宋体" w:eastAsia="宋体"/>
                <w:u w:val="none"/>
              </w:rPr>
            </w:pPr>
            <w:r>
              <w:rPr>
                <w:rFonts w:hint="eastAsia" w:ascii="宋体" w:eastAsia="宋体"/>
                <w:u w:val="none"/>
              </w:rPr>
              <w:t>物业管理（含业主委员会）</w:t>
            </w:r>
          </w:p>
        </w:tc>
        <w:tc>
          <w:tcPr>
            <w:tcW w:w="1239" w:type="dxa"/>
            <w:vAlign w:val="center"/>
          </w:tcPr>
          <w:p>
            <w:pPr>
              <w:pStyle w:val="30"/>
              <w:rPr>
                <w:rFonts w:ascii="宋体" w:eastAsia="宋体"/>
                <w:u w:val="none"/>
              </w:rPr>
            </w:pPr>
            <w:r>
              <w:rPr>
                <w:rFonts w:ascii="宋体" w:eastAsia="宋体"/>
                <w:u w:val="none"/>
              </w:rPr>
              <w:t>10</w:t>
            </w:r>
            <w:r>
              <w:rPr>
                <w:rFonts w:hint="eastAsia" w:ascii="宋体" w:eastAsia="宋体"/>
                <w:u w:val="none"/>
              </w:rPr>
              <w:t>0～</w:t>
            </w:r>
            <w:r>
              <w:rPr>
                <w:rFonts w:ascii="宋体" w:eastAsia="宋体"/>
                <w:u w:val="none"/>
              </w:rPr>
              <w:t>5</w:t>
            </w:r>
            <w:r>
              <w:rPr>
                <w:rFonts w:hint="eastAsia" w:ascii="宋体" w:eastAsia="宋体"/>
                <w:u w:val="none"/>
              </w:rPr>
              <w:t>00</w:t>
            </w:r>
          </w:p>
        </w:tc>
        <w:tc>
          <w:tcPr>
            <w:tcW w:w="1239" w:type="dxa"/>
            <w:vAlign w:val="center"/>
          </w:tcPr>
          <w:p>
            <w:pPr>
              <w:pStyle w:val="30"/>
              <w:rPr>
                <w:rFonts w:ascii="宋体" w:eastAsia="宋体"/>
                <w:u w:val="none"/>
              </w:rPr>
            </w:pPr>
          </w:p>
        </w:tc>
        <w:tc>
          <w:tcPr>
            <w:tcW w:w="1124" w:type="dxa"/>
            <w:vAlign w:val="center"/>
          </w:tcPr>
          <w:p>
            <w:pPr>
              <w:pStyle w:val="30"/>
              <w:rPr>
                <w:rFonts w:ascii="宋体" w:eastAsia="宋体"/>
                <w:u w:val="none"/>
              </w:rPr>
            </w:pPr>
          </w:p>
        </w:tc>
        <w:tc>
          <w:tcPr>
            <w:tcW w:w="1796" w:type="dxa"/>
            <w:vAlign w:val="center"/>
          </w:tcPr>
          <w:p>
            <w:pPr>
              <w:pStyle w:val="30"/>
              <w:jc w:val="both"/>
              <w:rPr>
                <w:rFonts w:ascii="宋体" w:eastAsia="宋体"/>
                <w:u w:val="none"/>
              </w:rPr>
            </w:pPr>
            <w:r>
              <w:rPr>
                <w:rFonts w:hint="eastAsia" w:ascii="宋体" w:eastAsia="宋体"/>
                <w:u w:val="none"/>
              </w:rPr>
              <w:t>按物业总建筑面积的2‰配置。</w:t>
            </w: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独立开发的居住用地均须配置，可结合其他建筑设置。</w:t>
            </w:r>
          </w:p>
          <w:p>
            <w:pPr>
              <w:pStyle w:val="30"/>
              <w:ind w:firstLine="360" w:firstLineChars="200"/>
              <w:jc w:val="both"/>
              <w:rPr>
                <w:rFonts w:ascii="宋体" w:eastAsia="宋体"/>
                <w:u w:val="none"/>
              </w:rPr>
            </w:pPr>
            <w:r>
              <w:rPr>
                <w:rFonts w:hint="eastAsia" w:ascii="宋体" w:eastAsia="宋体"/>
                <w:u w:val="none"/>
              </w:rPr>
              <w:t>服务内容为建筑与设备维修、保安、绿化、环卫管理等。</w:t>
            </w:r>
          </w:p>
        </w:tc>
      </w:tr>
    </w:tbl>
    <w:p/>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居住用地公共服务设施设置标准（续表）</w:t>
      </w:r>
    </w:p>
    <w:tbl>
      <w:tblPr>
        <w:tblStyle w:val="18"/>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59"/>
        <w:gridCol w:w="1231"/>
        <w:gridCol w:w="1231"/>
        <w:gridCol w:w="1124"/>
        <w:gridCol w:w="1796"/>
        <w:gridCol w:w="376"/>
        <w:gridCol w:w="376"/>
        <w:gridCol w:w="376"/>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blHeader/>
        </w:trPr>
        <w:tc>
          <w:tcPr>
            <w:tcW w:w="536" w:type="dxa"/>
            <w:vMerge w:val="restart"/>
            <w:tcBorders>
              <w:right w:val="single" w:color="auto" w:sz="2" w:space="0"/>
            </w:tcBorders>
            <w:vAlign w:val="center"/>
          </w:tcPr>
          <w:p>
            <w:pPr>
              <w:pStyle w:val="29"/>
              <w:rPr>
                <w:rFonts w:ascii="宋体" w:eastAsia="宋体"/>
              </w:rPr>
            </w:pPr>
            <w:r>
              <w:rPr>
                <w:rFonts w:hint="eastAsia" w:ascii="宋体" w:eastAsia="宋体"/>
              </w:rPr>
              <w:t>类</w:t>
            </w:r>
          </w:p>
          <w:p>
            <w:pPr>
              <w:pStyle w:val="29"/>
              <w:rPr>
                <w:rFonts w:ascii="宋体" w:eastAsia="宋体"/>
              </w:rPr>
            </w:pPr>
          </w:p>
          <w:p>
            <w:pPr>
              <w:pStyle w:val="29"/>
              <w:rPr>
                <w:rFonts w:ascii="宋体" w:eastAsia="宋体"/>
              </w:rPr>
            </w:pPr>
            <w:r>
              <w:rPr>
                <w:rFonts w:hint="eastAsia" w:ascii="宋体" w:eastAsia="宋体"/>
              </w:rPr>
              <w:t>别</w:t>
            </w:r>
          </w:p>
        </w:tc>
        <w:tc>
          <w:tcPr>
            <w:tcW w:w="1459"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项 目 名 称</w:t>
            </w:r>
          </w:p>
        </w:tc>
        <w:tc>
          <w:tcPr>
            <w:tcW w:w="2462" w:type="dxa"/>
            <w:gridSpan w:val="2"/>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一般规模（m²/处）</w:t>
            </w:r>
          </w:p>
        </w:tc>
        <w:tc>
          <w:tcPr>
            <w:tcW w:w="1124"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服务规模</w:t>
            </w:r>
          </w:p>
          <w:p>
            <w:pPr>
              <w:pStyle w:val="29"/>
              <w:rPr>
                <w:rFonts w:ascii="宋体" w:eastAsia="宋体"/>
              </w:rPr>
            </w:pPr>
            <w:r>
              <w:rPr>
                <w:rFonts w:hint="eastAsia" w:ascii="宋体" w:eastAsia="宋体"/>
              </w:rPr>
              <w:t>（万人）</w:t>
            </w:r>
          </w:p>
        </w:tc>
        <w:tc>
          <w:tcPr>
            <w:tcW w:w="1796"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规 定</w:t>
            </w:r>
          </w:p>
        </w:tc>
        <w:tc>
          <w:tcPr>
            <w:tcW w:w="1128" w:type="dxa"/>
            <w:gridSpan w:val="3"/>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级 别</w:t>
            </w:r>
          </w:p>
        </w:tc>
        <w:tc>
          <w:tcPr>
            <w:tcW w:w="5175" w:type="dxa"/>
            <w:vMerge w:val="restart"/>
            <w:tcBorders>
              <w:top w:val="single" w:color="auto" w:sz="2" w:space="0"/>
              <w:left w:val="single" w:color="auto" w:sz="2" w:space="0"/>
              <w:right w:val="single" w:color="auto" w:sz="2" w:space="0"/>
            </w:tcBorders>
            <w:vAlign w:val="center"/>
          </w:tcPr>
          <w:p>
            <w:pPr>
              <w:pStyle w:val="29"/>
              <w:ind w:firstLine="1071" w:firstLineChars="635"/>
              <w:jc w:val="both"/>
              <w:rPr>
                <w:rFonts w:ascii="宋体" w:eastAsia="宋体"/>
              </w:rPr>
            </w:pPr>
            <w:r>
              <w:rPr>
                <w:rFonts w:hint="eastAsia" w:ascii="宋体" w:eastAsia="宋体"/>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blHeader/>
        </w:trPr>
        <w:tc>
          <w:tcPr>
            <w:tcW w:w="536" w:type="dxa"/>
            <w:vMerge w:val="continue"/>
            <w:tcBorders>
              <w:right w:val="single" w:color="auto" w:sz="2" w:space="0"/>
            </w:tcBorders>
            <w:vAlign w:val="center"/>
          </w:tcPr>
          <w:p>
            <w:pPr>
              <w:pStyle w:val="29"/>
              <w:rPr>
                <w:rFonts w:ascii="宋体" w:eastAsia="宋体"/>
              </w:rPr>
            </w:pPr>
          </w:p>
        </w:tc>
        <w:tc>
          <w:tcPr>
            <w:tcW w:w="1459"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231"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建 筑 面 积</w:t>
            </w:r>
          </w:p>
        </w:tc>
        <w:tc>
          <w:tcPr>
            <w:tcW w:w="1231"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用 地 面 积</w:t>
            </w:r>
          </w:p>
        </w:tc>
        <w:tc>
          <w:tcPr>
            <w:tcW w:w="1124"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796"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片区级</w:t>
            </w: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居住区级</w:t>
            </w: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小区级</w:t>
            </w:r>
          </w:p>
        </w:tc>
        <w:tc>
          <w:tcPr>
            <w:tcW w:w="5175" w:type="dxa"/>
            <w:vMerge w:val="continue"/>
            <w:tcBorders>
              <w:left w:val="single" w:color="auto" w:sz="2" w:space="0"/>
              <w:bottom w:val="single" w:color="auto" w:sz="2" w:space="0"/>
              <w:right w:val="single" w:color="auto" w:sz="2" w:space="0"/>
            </w:tcBorders>
            <w:vAlign w:val="center"/>
          </w:tcPr>
          <w:p>
            <w:pPr>
              <w:pStyle w:val="29"/>
              <w:ind w:firstLine="337" w:firstLineChars="200"/>
              <w:jc w:val="both"/>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536" w:type="dxa"/>
            <w:vMerge w:val="restart"/>
            <w:vAlign w:val="center"/>
          </w:tcPr>
          <w:p>
            <w:pPr>
              <w:pStyle w:val="30"/>
              <w:rPr>
                <w:rFonts w:ascii="宋体" w:eastAsia="宋体"/>
                <w:b/>
                <w:u w:val="none"/>
              </w:rPr>
            </w:pPr>
            <w:r>
              <w:rPr>
                <w:rFonts w:hint="eastAsia" w:ascii="宋体" w:eastAsia="宋体"/>
                <w:b/>
                <w:snapToGrid/>
                <w:u w:val="none"/>
              </w:rPr>
              <mc:AlternateContent>
                <mc:Choice Requires="wps">
                  <w:drawing>
                    <wp:anchor distT="0" distB="0" distL="114300" distR="114300" simplePos="0" relativeHeight="251662336" behindDoc="0" locked="0" layoutInCell="1" allowOverlap="1">
                      <wp:simplePos x="0" y="0"/>
                      <wp:positionH relativeFrom="column">
                        <wp:posOffset>-468630</wp:posOffset>
                      </wp:positionH>
                      <wp:positionV relativeFrom="paragraph">
                        <wp:posOffset>86360</wp:posOffset>
                      </wp:positionV>
                      <wp:extent cx="333375" cy="485775"/>
                      <wp:effectExtent l="0" t="0" r="4445" b="4445"/>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333375" cy="485775"/>
                              </a:xfrm>
                              <a:prstGeom prst="rect">
                                <a:avLst/>
                              </a:prstGeom>
                              <a:solidFill>
                                <a:srgbClr val="FFFFFF"/>
                              </a:solidFill>
                              <a:ln>
                                <a:noFill/>
                              </a:ln>
                            </wps:spPr>
                            <wps:txbx>
                              <w:txbxContent>
                                <w:p>
                                  <w:pPr>
                                    <w:rPr>
                                      <w:szCs w:val="21"/>
                                    </w:rPr>
                                  </w:pPr>
                                </w:p>
                              </w:txbxContent>
                            </wps:txbx>
                            <wps:bodyPr rot="0" vert="eaVert" wrap="square" lIns="91440" tIns="45720" rIns="91440" bIns="45720" anchor="t" anchorCtr="0" upright="1">
                              <a:noAutofit/>
                            </wps:bodyPr>
                          </wps:wsp>
                        </a:graphicData>
                      </a:graphic>
                    </wp:anchor>
                  </w:drawing>
                </mc:Choice>
                <mc:Fallback>
                  <w:pict>
                    <v:shape id="Text Box 6" o:spid="_x0000_s1026" o:spt="202" type="#_x0000_t202" style="position:absolute;left:0pt;margin-left:-36.9pt;margin-top:6.8pt;height:38.25pt;width:26.25pt;z-index:251662336;mso-width-relative:page;mso-height-relative:page;" fillcolor="#FFFFFF" filled="t" stroked="f" coordsize="21600,21600" o:gfxdata="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nTgl/ZAAAACQEAAA8A&#10;AAAAAAAAAQAgAAAAIgAAAGRycy9kb3ducmV2LnhtbFBLAQIUABQAAAAIAIdO4kDAr7UHFgIAAD4E&#10;AAAOAAAAAAAAAAEAIAAAACgBAABkcnMvZTJvRG9jLnhtbFBLBQYAAAAABgAGAFkBAACwBQAAAAA=&#10;">
                      <v:fill on="t" focussize="0,0"/>
                      <v:stroke on="f"/>
                      <v:imagedata o:title=""/>
                      <o:lock v:ext="edit" aspectratio="f"/>
                      <v:textbox style="layout-flow:vertical-ideographic;">
                        <w:txbxContent>
                          <w:p>
                            <w:pPr>
                              <w:rPr>
                                <w:szCs w:val="21"/>
                              </w:rPr>
                            </w:pPr>
                          </w:p>
                        </w:txbxContent>
                      </v:textbox>
                    </v:shape>
                  </w:pict>
                </mc:Fallback>
              </mc:AlternateContent>
            </w:r>
            <w:r>
              <w:rPr>
                <w:rFonts w:hint="eastAsia" w:ascii="宋体" w:eastAsia="宋体"/>
                <w:b/>
                <w:u w:val="none"/>
              </w:rPr>
              <w:t>邮政及市政公</w:t>
            </w:r>
          </w:p>
          <w:p>
            <w:pPr>
              <w:pStyle w:val="30"/>
              <w:rPr>
                <w:rFonts w:ascii="宋体" w:eastAsia="宋体"/>
                <w:b/>
                <w:u w:val="none"/>
              </w:rPr>
            </w:pPr>
            <w:r>
              <w:rPr>
                <w:rFonts w:hint="eastAsia" w:ascii="宋体" w:eastAsia="宋体"/>
                <w:b/>
                <w:u w:val="none"/>
              </w:rPr>
              <w:t>用</w:t>
            </w:r>
          </w:p>
          <w:p>
            <w:pPr>
              <w:pStyle w:val="30"/>
              <w:rPr>
                <w:rFonts w:ascii="宋体" w:eastAsia="宋体"/>
                <w:u w:val="none"/>
              </w:rPr>
            </w:pPr>
            <w:r>
              <w:rPr>
                <w:rFonts w:hint="eastAsia" w:ascii="宋体" w:eastAsia="宋体"/>
                <w:b/>
                <w:u w:val="none"/>
              </w:rPr>
              <w:t>设施</w:t>
            </w:r>
          </w:p>
        </w:tc>
        <w:tc>
          <w:tcPr>
            <w:tcW w:w="1459" w:type="dxa"/>
            <w:vAlign w:val="center"/>
          </w:tcPr>
          <w:p>
            <w:pPr>
              <w:pStyle w:val="30"/>
              <w:rPr>
                <w:rFonts w:ascii="宋体" w:eastAsia="宋体"/>
                <w:u w:val="none"/>
              </w:rPr>
            </w:pPr>
            <w:r>
              <w:rPr>
                <w:rFonts w:hint="eastAsia" w:ascii="宋体" w:eastAsia="宋体"/>
                <w:u w:val="none"/>
              </w:rPr>
              <w:t>燃气供应站</w:t>
            </w:r>
          </w:p>
        </w:tc>
        <w:tc>
          <w:tcPr>
            <w:tcW w:w="1231" w:type="dxa"/>
            <w:vAlign w:val="center"/>
          </w:tcPr>
          <w:p>
            <w:pPr>
              <w:pStyle w:val="30"/>
              <w:rPr>
                <w:rFonts w:ascii="宋体" w:eastAsia="宋体"/>
                <w:u w:val="none"/>
              </w:rPr>
            </w:pPr>
            <w:r>
              <w:rPr>
                <w:rFonts w:hint="eastAsia" w:ascii="宋体" w:eastAsia="宋体"/>
                <w:u w:val="none"/>
              </w:rPr>
              <w:t>200～300</w:t>
            </w:r>
          </w:p>
        </w:tc>
        <w:tc>
          <w:tcPr>
            <w:tcW w:w="1231" w:type="dxa"/>
            <w:vAlign w:val="center"/>
          </w:tcPr>
          <w:p>
            <w:pPr>
              <w:pStyle w:val="30"/>
              <w:rPr>
                <w:rFonts w:ascii="宋体" w:eastAsia="宋体"/>
                <w:u w:val="none"/>
              </w:rPr>
            </w:pPr>
            <w:r>
              <w:rPr>
                <w:rFonts w:hint="eastAsia" w:ascii="宋体" w:eastAsia="宋体"/>
                <w:u w:val="none"/>
              </w:rPr>
              <w:t>400～500</w:t>
            </w:r>
          </w:p>
        </w:tc>
        <w:tc>
          <w:tcPr>
            <w:tcW w:w="1124" w:type="dxa"/>
            <w:vAlign w:val="center"/>
          </w:tcPr>
          <w:p>
            <w:pPr>
              <w:pStyle w:val="30"/>
              <w:rPr>
                <w:rFonts w:ascii="宋体" w:eastAsia="宋体"/>
                <w:u w:val="none"/>
              </w:rPr>
            </w:pPr>
            <w:r>
              <w:rPr>
                <w:rFonts w:hint="eastAsia" w:ascii="宋体" w:eastAsia="宋体"/>
                <w:u w:val="none"/>
              </w:rPr>
              <w:t>5</w:t>
            </w:r>
          </w:p>
        </w:tc>
        <w:tc>
          <w:tcPr>
            <w:tcW w:w="1796" w:type="dxa"/>
            <w:vAlign w:val="center"/>
          </w:tcPr>
          <w:p>
            <w:pPr>
              <w:pStyle w:val="30"/>
              <w:jc w:val="both"/>
              <w:rPr>
                <w:rFonts w:ascii="宋体" w:eastAsia="宋体"/>
                <w:u w:val="none"/>
              </w:rPr>
            </w:pPr>
            <w:r>
              <w:rPr>
                <w:rFonts w:hint="eastAsia" w:ascii="宋体" w:eastAsia="宋体"/>
                <w:u w:val="none"/>
              </w:rPr>
              <w:t>管道燃气尚未覆盖区域设置</w:t>
            </w: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应独立用地，服务半径为1～3km。瓶装供应站瓶库与住宅间距不应小于15m，与重要公共建筑间距不小于25m。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110kV变电站</w:t>
            </w:r>
          </w:p>
        </w:tc>
        <w:tc>
          <w:tcPr>
            <w:tcW w:w="1231" w:type="dxa"/>
            <w:vAlign w:val="center"/>
          </w:tcPr>
          <w:p>
            <w:pPr>
              <w:pStyle w:val="30"/>
              <w:rPr>
                <w:rFonts w:ascii="宋体" w:eastAsia="宋体"/>
                <w:u w:val="none"/>
              </w:rPr>
            </w:pPr>
            <w:r>
              <w:rPr>
                <w:rFonts w:hint="eastAsia" w:ascii="宋体" w:eastAsia="宋体"/>
                <w:u w:val="none"/>
              </w:rPr>
              <w:t>2000～3000</w:t>
            </w:r>
          </w:p>
        </w:tc>
        <w:tc>
          <w:tcPr>
            <w:tcW w:w="1231" w:type="dxa"/>
            <w:vAlign w:val="center"/>
          </w:tcPr>
          <w:p>
            <w:pPr>
              <w:pStyle w:val="30"/>
              <w:rPr>
                <w:rFonts w:ascii="宋体" w:eastAsia="宋体"/>
                <w:u w:val="none"/>
              </w:rPr>
            </w:pPr>
            <w:r>
              <w:rPr>
                <w:rFonts w:hint="eastAsia" w:ascii="宋体" w:eastAsia="宋体"/>
                <w:u w:val="none"/>
              </w:rPr>
              <w:t>2000～4000</w:t>
            </w:r>
          </w:p>
        </w:tc>
        <w:tc>
          <w:tcPr>
            <w:tcW w:w="1124" w:type="dxa"/>
            <w:vAlign w:val="center"/>
          </w:tcPr>
          <w:p>
            <w:pPr>
              <w:pStyle w:val="30"/>
              <w:rPr>
                <w:rFonts w:ascii="宋体" w:eastAsia="宋体"/>
                <w:u w:val="none"/>
              </w:rPr>
            </w:pPr>
            <w:r>
              <w:rPr>
                <w:rFonts w:hint="eastAsia" w:ascii="宋体" w:eastAsia="宋体"/>
                <w:u w:val="none"/>
              </w:rPr>
              <w:t>5～10</w:t>
            </w:r>
          </w:p>
        </w:tc>
        <w:tc>
          <w:tcPr>
            <w:tcW w:w="179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5175" w:type="dxa"/>
            <w:vAlign w:val="center"/>
          </w:tcPr>
          <w:p>
            <w:pPr>
              <w:pStyle w:val="30"/>
              <w:jc w:val="both"/>
              <w:rPr>
                <w:rFonts w:ascii="宋体" w:eastAsia="宋体"/>
                <w:u w:val="none"/>
              </w:rPr>
            </w:pPr>
            <w:r>
              <w:rPr>
                <w:rFonts w:hint="eastAsia" w:ascii="宋体" w:eastAsia="宋体"/>
                <w:u w:val="none"/>
              </w:rPr>
              <w:t>区域统筹安排，应独立用地。A型建筑长、宽、高为46×23×25m，B型建筑长、宽、高为36×17.5×25m。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垃圾压缩站</w:t>
            </w:r>
          </w:p>
          <w:p>
            <w:pPr>
              <w:pStyle w:val="30"/>
              <w:rPr>
                <w:rFonts w:ascii="宋体" w:eastAsia="宋体"/>
                <w:u w:val="none"/>
              </w:rPr>
            </w:pPr>
            <w:r>
              <w:rPr>
                <w:rFonts w:hint="eastAsia" w:ascii="宋体" w:eastAsia="宋体"/>
                <w:u w:val="none"/>
              </w:rPr>
              <w:t>（2厢）</w:t>
            </w:r>
          </w:p>
        </w:tc>
        <w:tc>
          <w:tcPr>
            <w:tcW w:w="1231" w:type="dxa"/>
            <w:vAlign w:val="center"/>
          </w:tcPr>
          <w:p>
            <w:pPr>
              <w:pStyle w:val="30"/>
              <w:rPr>
                <w:rFonts w:ascii="宋体" w:eastAsia="宋体"/>
                <w:u w:val="none"/>
              </w:rPr>
            </w:pPr>
            <w:r>
              <w:rPr>
                <w:rFonts w:hint="eastAsia" w:ascii="宋体" w:eastAsia="宋体"/>
                <w:u w:val="none"/>
              </w:rPr>
              <w:t>280</w:t>
            </w:r>
          </w:p>
        </w:tc>
        <w:tc>
          <w:tcPr>
            <w:tcW w:w="1231" w:type="dxa"/>
            <w:vAlign w:val="center"/>
          </w:tcPr>
          <w:p>
            <w:pPr>
              <w:pStyle w:val="30"/>
              <w:rPr>
                <w:rFonts w:ascii="宋体" w:eastAsia="宋体"/>
                <w:u w:val="none"/>
              </w:rPr>
            </w:pPr>
            <w:r>
              <w:rPr>
                <w:rFonts w:hint="eastAsia" w:ascii="宋体" w:eastAsia="宋体"/>
                <w:u w:val="none"/>
              </w:rPr>
              <w:t>560</w:t>
            </w:r>
          </w:p>
        </w:tc>
        <w:tc>
          <w:tcPr>
            <w:tcW w:w="1124" w:type="dxa"/>
            <w:vAlign w:val="center"/>
          </w:tcPr>
          <w:p>
            <w:pPr>
              <w:pStyle w:val="30"/>
              <w:rPr>
                <w:rFonts w:ascii="宋体" w:eastAsia="宋体"/>
                <w:u w:val="none"/>
              </w:rPr>
            </w:pPr>
            <w:r>
              <w:rPr>
                <w:rFonts w:hint="eastAsia" w:ascii="宋体" w:eastAsia="宋体"/>
                <w:u w:val="none"/>
              </w:rPr>
              <w:t>8～12</w:t>
            </w:r>
          </w:p>
        </w:tc>
        <w:tc>
          <w:tcPr>
            <w:tcW w:w="1796" w:type="dxa"/>
            <w:vAlign w:val="center"/>
          </w:tcPr>
          <w:p>
            <w:pPr>
              <w:pStyle w:val="30"/>
              <w:jc w:val="both"/>
              <w:rPr>
                <w:rFonts w:ascii="宋体" w:eastAsia="宋体"/>
                <w:u w:val="none"/>
              </w:rPr>
            </w:pPr>
            <w:r>
              <w:rPr>
                <w:rFonts w:hint="eastAsia" w:ascii="宋体" w:eastAsia="宋体"/>
                <w:u w:val="none"/>
              </w:rPr>
              <w:t>建筑面宽、进深：</w:t>
            </w:r>
          </w:p>
          <w:p>
            <w:pPr>
              <w:pStyle w:val="30"/>
              <w:rPr>
                <w:rFonts w:ascii="宋体" w:eastAsia="宋体"/>
                <w:u w:val="none"/>
              </w:rPr>
            </w:pPr>
            <w:r>
              <w:rPr>
                <w:rFonts w:hint="eastAsia" w:ascii="宋体" w:eastAsia="宋体"/>
                <w:u w:val="none"/>
              </w:rPr>
              <w:t>15m×18.5m；</w:t>
            </w:r>
          </w:p>
          <w:p>
            <w:pPr>
              <w:pStyle w:val="30"/>
              <w:jc w:val="both"/>
              <w:rPr>
                <w:rFonts w:ascii="宋体" w:eastAsia="宋体"/>
                <w:u w:val="none"/>
              </w:rPr>
            </w:pPr>
            <w:r>
              <w:rPr>
                <w:rFonts w:hint="eastAsia" w:ascii="宋体" w:eastAsia="宋体"/>
                <w:u w:val="none"/>
              </w:rPr>
              <w:t>用地：21m×26.5m</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垃圾压缩站用地尽量紧靠主、次干路，方便运输，减少扰民；应保证20％以上的绿化面积，绿化隔离带宽度不小于3m，与其它建筑距离不宜少于10m；垃圾压缩站净高为4.5～7m。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垃圾转运站</w:t>
            </w:r>
          </w:p>
          <w:p>
            <w:pPr>
              <w:pStyle w:val="30"/>
              <w:rPr>
                <w:rFonts w:ascii="宋体" w:eastAsia="宋体"/>
                <w:u w:val="none"/>
              </w:rPr>
            </w:pPr>
            <w:r>
              <w:rPr>
                <w:rFonts w:hint="eastAsia" w:ascii="宋体" w:eastAsia="宋体"/>
                <w:u w:val="none"/>
              </w:rPr>
              <w:t>垃圾收集站</w:t>
            </w:r>
          </w:p>
        </w:tc>
        <w:tc>
          <w:tcPr>
            <w:tcW w:w="1231" w:type="dxa"/>
            <w:vAlign w:val="center"/>
          </w:tcPr>
          <w:p>
            <w:pPr>
              <w:pStyle w:val="30"/>
              <w:rPr>
                <w:rFonts w:ascii="宋体" w:eastAsia="宋体"/>
                <w:u w:val="none"/>
              </w:rPr>
            </w:pPr>
            <w:r>
              <w:rPr>
                <w:rFonts w:hint="eastAsia" w:ascii="宋体" w:eastAsia="宋体"/>
                <w:u w:val="none"/>
              </w:rPr>
              <w:t>100</w:t>
            </w:r>
          </w:p>
          <w:p>
            <w:pPr>
              <w:pStyle w:val="30"/>
              <w:rPr>
                <w:rFonts w:ascii="宋体" w:eastAsia="宋体"/>
                <w:u w:val="none"/>
              </w:rPr>
            </w:pPr>
            <w:r>
              <w:rPr>
                <w:rFonts w:hint="eastAsia" w:ascii="宋体" w:eastAsia="宋体"/>
                <w:u w:val="none"/>
              </w:rPr>
              <w:t>60</w:t>
            </w:r>
          </w:p>
        </w:tc>
        <w:tc>
          <w:tcPr>
            <w:tcW w:w="1231" w:type="dxa"/>
            <w:vAlign w:val="center"/>
          </w:tcPr>
          <w:p>
            <w:pPr>
              <w:pStyle w:val="30"/>
              <w:rPr>
                <w:rFonts w:ascii="宋体" w:eastAsia="宋体"/>
                <w:u w:val="none"/>
              </w:rPr>
            </w:pPr>
            <w:r>
              <w:rPr>
                <w:rFonts w:hint="eastAsia" w:ascii="宋体" w:eastAsia="宋体"/>
                <w:u w:val="none"/>
              </w:rPr>
              <w:t>≤1000</w:t>
            </w:r>
          </w:p>
          <w:p>
            <w:pPr>
              <w:pStyle w:val="30"/>
              <w:rPr>
                <w:rFonts w:ascii="宋体" w:eastAsia="宋体"/>
                <w:u w:val="none"/>
              </w:rPr>
            </w:pPr>
            <w:r>
              <w:rPr>
                <w:rFonts w:hint="eastAsia" w:ascii="宋体" w:eastAsia="宋体"/>
                <w:u w:val="none"/>
              </w:rPr>
              <w:t>≤300</w:t>
            </w:r>
          </w:p>
        </w:tc>
        <w:tc>
          <w:tcPr>
            <w:tcW w:w="1124" w:type="dxa"/>
            <w:vAlign w:val="center"/>
          </w:tcPr>
          <w:p>
            <w:pPr>
              <w:pStyle w:val="30"/>
              <w:rPr>
                <w:rFonts w:ascii="宋体" w:eastAsia="宋体"/>
                <w:u w:val="none"/>
              </w:rPr>
            </w:pPr>
            <w:r>
              <w:rPr>
                <w:rFonts w:hint="eastAsia" w:ascii="宋体" w:eastAsia="宋体"/>
                <w:u w:val="none"/>
              </w:rPr>
              <w:t>3～5</w:t>
            </w:r>
          </w:p>
          <w:p>
            <w:pPr>
              <w:pStyle w:val="30"/>
              <w:rPr>
                <w:rFonts w:ascii="宋体" w:eastAsia="宋体"/>
                <w:u w:val="none"/>
              </w:rPr>
            </w:pPr>
            <w:r>
              <w:rPr>
                <w:rFonts w:hint="eastAsia" w:ascii="宋体" w:eastAsia="宋体"/>
                <w:u w:val="none"/>
              </w:rPr>
              <w:t>1～1.5</w:t>
            </w:r>
          </w:p>
        </w:tc>
        <w:tc>
          <w:tcPr>
            <w:tcW w:w="1796" w:type="dxa"/>
            <w:vAlign w:val="center"/>
          </w:tcPr>
          <w:p>
            <w:pPr>
              <w:pStyle w:val="30"/>
              <w:jc w:val="both"/>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p>
            <w:pPr>
              <w:pStyle w:val="30"/>
              <w:rPr>
                <w:rFonts w:ascii="宋体" w:eastAsia="宋体"/>
                <w:u w:val="none"/>
              </w:rPr>
            </w:pPr>
          </w:p>
        </w:tc>
        <w:tc>
          <w:tcPr>
            <w:tcW w:w="376" w:type="dxa"/>
            <w:vAlign w:val="center"/>
          </w:tcPr>
          <w:p>
            <w:pPr>
              <w:pStyle w:val="30"/>
              <w:rPr>
                <w:rFonts w:ascii="宋体" w:eastAsia="宋体"/>
                <w:u w:val="none"/>
              </w:rPr>
            </w:pPr>
          </w:p>
          <w:p>
            <w:pPr>
              <w:pStyle w:val="30"/>
              <w:rPr>
                <w:rFonts w:ascii="宋体" w:eastAsia="宋体"/>
                <w:u w:val="none"/>
              </w:rPr>
            </w:pPr>
            <w:r>
              <w:rPr>
                <w:rFonts w:hint="eastAsia" w:ascii="宋体" w:eastAsia="宋体"/>
                <w:u w:val="none"/>
              </w:rPr>
              <w:t>▲</w:t>
            </w: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居住区级设置不小于100㎡建筑面积的垃圾转运站；</w:t>
            </w:r>
          </w:p>
          <w:p>
            <w:pPr>
              <w:pStyle w:val="30"/>
              <w:ind w:firstLine="360" w:firstLineChars="200"/>
              <w:jc w:val="both"/>
              <w:rPr>
                <w:rFonts w:ascii="宋体" w:eastAsia="宋体"/>
                <w:u w:val="none"/>
              </w:rPr>
            </w:pPr>
            <w:r>
              <w:rPr>
                <w:rFonts w:hint="eastAsia" w:ascii="宋体" w:eastAsia="宋体"/>
                <w:u w:val="none"/>
              </w:rPr>
              <w:t>小区级设不小于60㎡建筑面积的垃圾收集站。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邮政电信</w:t>
            </w:r>
          </w:p>
          <w:p>
            <w:pPr>
              <w:pStyle w:val="30"/>
              <w:rPr>
                <w:rFonts w:ascii="宋体" w:eastAsia="宋体"/>
                <w:u w:val="none"/>
              </w:rPr>
            </w:pPr>
            <w:r>
              <w:rPr>
                <w:rFonts w:hint="eastAsia" w:ascii="宋体" w:eastAsia="宋体"/>
                <w:u w:val="none"/>
              </w:rPr>
              <w:t>营业所</w:t>
            </w:r>
          </w:p>
        </w:tc>
        <w:tc>
          <w:tcPr>
            <w:tcW w:w="1231" w:type="dxa"/>
            <w:vAlign w:val="center"/>
          </w:tcPr>
          <w:p>
            <w:pPr>
              <w:pStyle w:val="30"/>
              <w:rPr>
                <w:rFonts w:ascii="宋体" w:eastAsia="宋体"/>
                <w:u w:val="none"/>
              </w:rPr>
            </w:pPr>
            <w:r>
              <w:rPr>
                <w:rFonts w:hint="eastAsia" w:ascii="宋体" w:eastAsia="宋体"/>
                <w:u w:val="none"/>
              </w:rPr>
              <w:t>200～300</w:t>
            </w:r>
          </w:p>
        </w:tc>
        <w:tc>
          <w:tcPr>
            <w:tcW w:w="1231" w:type="dxa"/>
            <w:vAlign w:val="center"/>
          </w:tcPr>
          <w:p>
            <w:pPr>
              <w:pStyle w:val="30"/>
              <w:rPr>
                <w:rFonts w:ascii="宋体" w:eastAsia="宋体"/>
                <w:u w:val="none"/>
              </w:rPr>
            </w:pPr>
          </w:p>
        </w:tc>
        <w:tc>
          <w:tcPr>
            <w:tcW w:w="1124" w:type="dxa"/>
            <w:vAlign w:val="center"/>
          </w:tcPr>
          <w:p>
            <w:pPr>
              <w:pStyle w:val="30"/>
              <w:rPr>
                <w:rFonts w:ascii="宋体" w:eastAsia="宋体"/>
                <w:u w:val="none"/>
              </w:rPr>
            </w:pPr>
            <w:r>
              <w:rPr>
                <w:rFonts w:hint="eastAsia" w:ascii="宋体" w:eastAsia="宋体"/>
                <w:u w:val="none"/>
              </w:rPr>
              <w:t>1.5～3</w:t>
            </w:r>
          </w:p>
        </w:tc>
        <w:tc>
          <w:tcPr>
            <w:tcW w:w="1796" w:type="dxa"/>
            <w:vAlign w:val="center"/>
          </w:tcPr>
          <w:p>
            <w:pPr>
              <w:pStyle w:val="30"/>
              <w:rPr>
                <w:rFonts w:ascii="宋体" w:eastAsia="宋体"/>
                <w:u w:val="none"/>
              </w:rPr>
            </w:pPr>
          </w:p>
          <w:p>
            <w:pPr>
              <w:pStyle w:val="30"/>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不独立占地，应设于建筑首层，业务包括电信、包裹兑汇等。在建筑首层安排确有困难时，不超过1/3的建筑面积可配置在二层。宜临宽度大于15米的道路设置。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公共厕所</w:t>
            </w:r>
          </w:p>
        </w:tc>
        <w:tc>
          <w:tcPr>
            <w:tcW w:w="1231" w:type="dxa"/>
            <w:vAlign w:val="center"/>
          </w:tcPr>
          <w:p>
            <w:pPr>
              <w:pStyle w:val="30"/>
              <w:rPr>
                <w:rFonts w:ascii="宋体" w:eastAsia="宋体"/>
                <w:u w:val="none"/>
              </w:rPr>
            </w:pPr>
            <w:r>
              <w:rPr>
                <w:rFonts w:hint="eastAsia" w:ascii="宋体" w:eastAsia="宋体"/>
                <w:u w:val="none"/>
              </w:rPr>
              <w:t>50～</w:t>
            </w:r>
            <w:r>
              <w:rPr>
                <w:rFonts w:ascii="宋体" w:eastAsia="宋体"/>
                <w:u w:val="none"/>
              </w:rPr>
              <w:t>10</w:t>
            </w:r>
            <w:r>
              <w:rPr>
                <w:rFonts w:hint="eastAsia" w:ascii="宋体" w:eastAsia="宋体"/>
                <w:u w:val="none"/>
              </w:rPr>
              <w:t>0</w:t>
            </w:r>
          </w:p>
        </w:tc>
        <w:tc>
          <w:tcPr>
            <w:tcW w:w="1231" w:type="dxa"/>
            <w:vAlign w:val="center"/>
          </w:tcPr>
          <w:p>
            <w:pPr>
              <w:pStyle w:val="30"/>
              <w:rPr>
                <w:rFonts w:ascii="宋体" w:eastAsia="宋体"/>
                <w:u w:val="none"/>
              </w:rPr>
            </w:pPr>
          </w:p>
        </w:tc>
        <w:tc>
          <w:tcPr>
            <w:tcW w:w="1124" w:type="dxa"/>
            <w:vAlign w:val="center"/>
          </w:tcPr>
          <w:p>
            <w:pPr>
              <w:pStyle w:val="30"/>
              <w:rPr>
                <w:rFonts w:ascii="宋体" w:eastAsia="宋体"/>
                <w:u w:val="none"/>
              </w:rPr>
            </w:pPr>
            <w:r>
              <w:rPr>
                <w:rFonts w:ascii="宋体" w:eastAsia="宋体"/>
                <w:u w:val="none"/>
              </w:rPr>
              <w:t>&gt;</w:t>
            </w:r>
            <w:r>
              <w:rPr>
                <w:rFonts w:hint="eastAsia" w:ascii="宋体" w:eastAsia="宋体"/>
                <w:u w:val="none"/>
              </w:rPr>
              <w:t>0.</w:t>
            </w:r>
            <w:r>
              <w:rPr>
                <w:rFonts w:ascii="宋体" w:eastAsia="宋体"/>
                <w:u w:val="none"/>
              </w:rPr>
              <w:t>3</w:t>
            </w:r>
          </w:p>
        </w:tc>
        <w:tc>
          <w:tcPr>
            <w:tcW w:w="179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公共厕所宜临宽度大于15 m的道路设置，宜设于公共建筑首层，并应易于识别。在大型的公共空间，如商业、娱乐、车站、码头、学校、公园、文化、旅游等的公共厕所厕位宜按男女比例1:2设置，并至少分别设一个男、女残疾人专用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社会停车场/库</w:t>
            </w:r>
          </w:p>
        </w:tc>
        <w:tc>
          <w:tcPr>
            <w:tcW w:w="1231" w:type="dxa"/>
            <w:vAlign w:val="center"/>
          </w:tcPr>
          <w:p>
            <w:pPr>
              <w:pStyle w:val="30"/>
              <w:rPr>
                <w:rFonts w:ascii="宋体" w:eastAsia="宋体"/>
                <w:u w:val="none"/>
              </w:rPr>
            </w:pPr>
          </w:p>
        </w:tc>
        <w:tc>
          <w:tcPr>
            <w:tcW w:w="1231" w:type="dxa"/>
            <w:vAlign w:val="center"/>
          </w:tcPr>
          <w:p>
            <w:pPr>
              <w:pStyle w:val="30"/>
              <w:rPr>
                <w:rFonts w:ascii="宋体" w:eastAsia="宋体"/>
                <w:u w:val="none"/>
              </w:rPr>
            </w:pPr>
            <w:r>
              <w:rPr>
                <w:rFonts w:hint="eastAsia" w:ascii="宋体" w:eastAsia="宋体"/>
                <w:u w:val="none"/>
              </w:rPr>
              <w:t>&gt;3500</w:t>
            </w:r>
          </w:p>
        </w:tc>
        <w:tc>
          <w:tcPr>
            <w:tcW w:w="1124" w:type="dxa"/>
            <w:vAlign w:val="center"/>
          </w:tcPr>
          <w:p>
            <w:pPr>
              <w:pStyle w:val="30"/>
              <w:rPr>
                <w:rFonts w:ascii="宋体" w:eastAsia="宋体"/>
                <w:u w:val="none"/>
              </w:rPr>
            </w:pPr>
            <w:r>
              <w:rPr>
                <w:rFonts w:hint="eastAsia" w:ascii="宋体" w:eastAsia="宋体"/>
                <w:u w:val="none"/>
              </w:rPr>
              <w:t>5～8</w:t>
            </w:r>
          </w:p>
        </w:tc>
        <w:tc>
          <w:tcPr>
            <w:tcW w:w="179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区域统筹安排，可独立用地，也可设于大型建筑地下。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公交站场</w:t>
            </w:r>
          </w:p>
        </w:tc>
        <w:tc>
          <w:tcPr>
            <w:tcW w:w="1231" w:type="dxa"/>
            <w:vAlign w:val="center"/>
          </w:tcPr>
          <w:p>
            <w:pPr>
              <w:pStyle w:val="30"/>
              <w:rPr>
                <w:rFonts w:ascii="宋体" w:eastAsia="宋体"/>
                <w:u w:val="none"/>
              </w:rPr>
            </w:pPr>
          </w:p>
        </w:tc>
        <w:tc>
          <w:tcPr>
            <w:tcW w:w="1231" w:type="dxa"/>
            <w:vAlign w:val="center"/>
          </w:tcPr>
          <w:p>
            <w:pPr>
              <w:pStyle w:val="30"/>
              <w:rPr>
                <w:rFonts w:ascii="宋体" w:eastAsia="宋体"/>
                <w:u w:val="none"/>
              </w:rPr>
            </w:pPr>
            <w:r>
              <w:rPr>
                <w:rFonts w:hint="eastAsia" w:ascii="宋体" w:eastAsia="宋体"/>
                <w:u w:val="none"/>
              </w:rPr>
              <w:t>2000～4000</w:t>
            </w:r>
          </w:p>
        </w:tc>
        <w:tc>
          <w:tcPr>
            <w:tcW w:w="1124" w:type="dxa"/>
            <w:vAlign w:val="center"/>
          </w:tcPr>
          <w:p>
            <w:pPr>
              <w:pStyle w:val="30"/>
              <w:rPr>
                <w:rFonts w:ascii="宋体" w:eastAsia="宋体"/>
                <w:u w:val="none"/>
              </w:rPr>
            </w:pPr>
            <w:r>
              <w:rPr>
                <w:rFonts w:hint="eastAsia" w:ascii="宋体" w:eastAsia="宋体"/>
                <w:u w:val="none"/>
              </w:rPr>
              <w:t>3～4</w:t>
            </w:r>
          </w:p>
        </w:tc>
        <w:tc>
          <w:tcPr>
            <w:tcW w:w="179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5175" w:type="dxa"/>
            <w:vAlign w:val="center"/>
          </w:tcPr>
          <w:p>
            <w:pPr>
              <w:pStyle w:val="30"/>
              <w:jc w:val="both"/>
              <w:rPr>
                <w:rFonts w:ascii="宋体" w:eastAsia="宋体"/>
                <w:u w:val="none"/>
              </w:rPr>
            </w:pPr>
            <w:r>
              <w:rPr>
                <w:rFonts w:hint="eastAsia" w:ascii="宋体" w:eastAsia="宋体"/>
                <w:u w:val="none"/>
              </w:rPr>
              <w:t>区域统筹安排，应独立用地，并宜与居住区或小区开发同步建设。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公共自行车</w:t>
            </w:r>
          </w:p>
          <w:p>
            <w:pPr>
              <w:pStyle w:val="30"/>
              <w:rPr>
                <w:rFonts w:ascii="宋体" w:eastAsia="宋体"/>
                <w:u w:val="none"/>
              </w:rPr>
            </w:pPr>
            <w:r>
              <w:rPr>
                <w:rFonts w:hint="eastAsia" w:ascii="宋体" w:eastAsia="宋体"/>
                <w:u w:val="none"/>
              </w:rPr>
              <w:t>停车场</w:t>
            </w:r>
          </w:p>
        </w:tc>
        <w:tc>
          <w:tcPr>
            <w:tcW w:w="1231" w:type="dxa"/>
            <w:vAlign w:val="center"/>
          </w:tcPr>
          <w:p>
            <w:pPr>
              <w:pStyle w:val="30"/>
              <w:rPr>
                <w:rFonts w:ascii="宋体" w:eastAsia="宋体"/>
                <w:u w:val="none"/>
              </w:rPr>
            </w:pPr>
          </w:p>
        </w:tc>
        <w:tc>
          <w:tcPr>
            <w:tcW w:w="1231" w:type="dxa"/>
            <w:vAlign w:val="center"/>
          </w:tcPr>
          <w:p>
            <w:pPr>
              <w:pStyle w:val="30"/>
              <w:rPr>
                <w:rFonts w:ascii="宋体" w:eastAsia="宋体"/>
                <w:u w:val="none"/>
              </w:rPr>
            </w:pPr>
            <w:r>
              <w:rPr>
                <w:rFonts w:hint="eastAsia" w:ascii="宋体" w:eastAsia="宋体"/>
                <w:u w:val="none"/>
              </w:rPr>
              <w:t>&gt;100</w:t>
            </w:r>
          </w:p>
        </w:tc>
        <w:tc>
          <w:tcPr>
            <w:tcW w:w="1124" w:type="dxa"/>
            <w:vAlign w:val="center"/>
          </w:tcPr>
          <w:p>
            <w:pPr>
              <w:pStyle w:val="30"/>
              <w:rPr>
                <w:rFonts w:ascii="宋体" w:eastAsia="宋体"/>
                <w:u w:val="none"/>
              </w:rPr>
            </w:pPr>
          </w:p>
        </w:tc>
        <w:tc>
          <w:tcPr>
            <w:tcW w:w="179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5175" w:type="dxa"/>
            <w:vAlign w:val="center"/>
          </w:tcPr>
          <w:p>
            <w:pPr>
              <w:pStyle w:val="30"/>
              <w:ind w:firstLine="360" w:firstLineChars="200"/>
              <w:jc w:val="both"/>
              <w:rPr>
                <w:rFonts w:ascii="宋体" w:eastAsia="宋体"/>
                <w:u w:val="none"/>
              </w:rPr>
            </w:pPr>
            <w:r>
              <w:rPr>
                <w:rFonts w:ascii="宋体" w:eastAsia="宋体"/>
                <w:u w:val="none"/>
              </w:rPr>
              <w:t>临</w:t>
            </w:r>
            <w:r>
              <w:rPr>
                <w:rFonts w:hint="eastAsia" w:ascii="宋体" w:eastAsia="宋体"/>
                <w:u w:val="none"/>
              </w:rPr>
              <w:t>城乡广场、市政道路</w:t>
            </w:r>
            <w:r>
              <w:rPr>
                <w:rFonts w:ascii="宋体" w:eastAsia="宋体"/>
                <w:u w:val="none"/>
              </w:rPr>
              <w:t>行人主出入口处设置城乡公共自行车停车场，</w:t>
            </w:r>
            <w:r>
              <w:rPr>
                <w:rFonts w:hint="eastAsia" w:ascii="宋体" w:eastAsia="宋体"/>
                <w:u w:val="none"/>
              </w:rPr>
              <w:t>用地</w:t>
            </w:r>
            <w:r>
              <w:rPr>
                <w:rFonts w:ascii="宋体" w:eastAsia="宋体"/>
                <w:u w:val="none"/>
              </w:rPr>
              <w:t>面积应不少于</w:t>
            </w:r>
            <w:r>
              <w:rPr>
                <w:rFonts w:hint="eastAsia" w:ascii="宋体" w:eastAsia="宋体"/>
                <w:u w:val="none"/>
              </w:rPr>
              <w:t xml:space="preserve">100 </w:t>
            </w:r>
            <w:r>
              <w:rPr>
                <w:rFonts w:hint="eastAsia" w:ascii="宋体" w:eastAsia="宋体" w:cs="宋体"/>
                <w:u w:val="none"/>
              </w:rPr>
              <w:t>㎡</w:t>
            </w:r>
            <w:r>
              <w:rPr>
                <w:rFonts w:ascii="宋体" w:eastAsia="宋体"/>
                <w:u w:val="none"/>
              </w:rPr>
              <w:t>。</w:t>
            </w:r>
          </w:p>
        </w:tc>
      </w:tr>
    </w:tbl>
    <w:p/>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居住用地公共服务设施设置标准（续表）</w:t>
      </w:r>
    </w:p>
    <w:tbl>
      <w:tblPr>
        <w:tblStyle w:val="18"/>
        <w:tblW w:w="137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43"/>
        <w:gridCol w:w="1239"/>
        <w:gridCol w:w="1239"/>
        <w:gridCol w:w="1124"/>
        <w:gridCol w:w="1796"/>
        <w:gridCol w:w="376"/>
        <w:gridCol w:w="376"/>
        <w:gridCol w:w="376"/>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blHeader/>
        </w:trPr>
        <w:tc>
          <w:tcPr>
            <w:tcW w:w="536" w:type="dxa"/>
            <w:vMerge w:val="restart"/>
            <w:tcBorders>
              <w:right w:val="single" w:color="auto" w:sz="2" w:space="0"/>
            </w:tcBorders>
            <w:vAlign w:val="center"/>
          </w:tcPr>
          <w:p>
            <w:pPr>
              <w:pStyle w:val="29"/>
            </w:pPr>
            <w:r>
              <w:rPr>
                <w:rFonts w:hint="eastAsia"/>
              </w:rPr>
              <w:t>类</w:t>
            </w:r>
          </w:p>
          <w:p>
            <w:pPr>
              <w:pStyle w:val="29"/>
            </w:pPr>
          </w:p>
          <w:p>
            <w:pPr>
              <w:pStyle w:val="29"/>
            </w:pPr>
            <w:r>
              <w:rPr>
                <w:rFonts w:hint="eastAsia"/>
              </w:rPr>
              <w:t>别</w:t>
            </w:r>
          </w:p>
        </w:tc>
        <w:tc>
          <w:tcPr>
            <w:tcW w:w="1443" w:type="dxa"/>
            <w:vMerge w:val="restart"/>
            <w:tcBorders>
              <w:top w:val="single" w:color="auto" w:sz="2" w:space="0"/>
              <w:left w:val="single" w:color="auto" w:sz="2" w:space="0"/>
              <w:right w:val="single" w:color="auto" w:sz="2" w:space="0"/>
            </w:tcBorders>
            <w:vAlign w:val="center"/>
          </w:tcPr>
          <w:p>
            <w:pPr>
              <w:pStyle w:val="29"/>
            </w:pPr>
            <w:r>
              <w:rPr>
                <w:rFonts w:hint="eastAsia"/>
              </w:rPr>
              <w:t>项 目 名 称</w:t>
            </w:r>
          </w:p>
        </w:tc>
        <w:tc>
          <w:tcPr>
            <w:tcW w:w="2478" w:type="dxa"/>
            <w:gridSpan w:val="2"/>
            <w:tcBorders>
              <w:top w:val="single" w:color="auto" w:sz="2" w:space="0"/>
              <w:left w:val="single" w:color="auto" w:sz="2" w:space="0"/>
              <w:bottom w:val="single" w:color="auto" w:sz="2" w:space="0"/>
              <w:right w:val="single" w:color="auto" w:sz="2" w:space="0"/>
            </w:tcBorders>
            <w:vAlign w:val="center"/>
          </w:tcPr>
          <w:p>
            <w:pPr>
              <w:pStyle w:val="29"/>
            </w:pPr>
            <w:r>
              <w:rPr>
                <w:rFonts w:hint="eastAsia"/>
              </w:rPr>
              <w:t>一般规模（</w:t>
            </w:r>
            <w:r>
              <w:rPr>
                <w:rFonts w:hint="eastAsia" w:ascii="宋体" w:eastAsia="宋体"/>
              </w:rPr>
              <w:t>m²</w:t>
            </w:r>
            <w:r>
              <w:rPr>
                <w:rFonts w:hint="eastAsia"/>
              </w:rPr>
              <w:t>/处）</w:t>
            </w:r>
          </w:p>
        </w:tc>
        <w:tc>
          <w:tcPr>
            <w:tcW w:w="1124" w:type="dxa"/>
            <w:vMerge w:val="restart"/>
            <w:tcBorders>
              <w:top w:val="single" w:color="auto" w:sz="2" w:space="0"/>
              <w:left w:val="single" w:color="auto" w:sz="2" w:space="0"/>
              <w:right w:val="single" w:color="auto" w:sz="2" w:space="0"/>
            </w:tcBorders>
            <w:vAlign w:val="center"/>
          </w:tcPr>
          <w:p>
            <w:pPr>
              <w:pStyle w:val="29"/>
            </w:pPr>
            <w:r>
              <w:rPr>
                <w:rFonts w:hint="eastAsia"/>
              </w:rPr>
              <w:t>服务规模</w:t>
            </w:r>
          </w:p>
          <w:p>
            <w:pPr>
              <w:pStyle w:val="29"/>
            </w:pPr>
            <w:r>
              <w:rPr>
                <w:rFonts w:hint="eastAsia"/>
              </w:rPr>
              <w:t>（万人）</w:t>
            </w:r>
          </w:p>
        </w:tc>
        <w:tc>
          <w:tcPr>
            <w:tcW w:w="1796" w:type="dxa"/>
            <w:vMerge w:val="restart"/>
            <w:tcBorders>
              <w:top w:val="single" w:color="auto" w:sz="2" w:space="0"/>
              <w:left w:val="single" w:color="auto" w:sz="2" w:space="0"/>
              <w:right w:val="single" w:color="auto" w:sz="2" w:space="0"/>
            </w:tcBorders>
            <w:vAlign w:val="center"/>
          </w:tcPr>
          <w:p>
            <w:pPr>
              <w:pStyle w:val="29"/>
            </w:pPr>
            <w:r>
              <w:rPr>
                <w:rFonts w:hint="eastAsia"/>
              </w:rPr>
              <w:t>设 置 规 定</w:t>
            </w:r>
          </w:p>
        </w:tc>
        <w:tc>
          <w:tcPr>
            <w:tcW w:w="1128" w:type="dxa"/>
            <w:gridSpan w:val="3"/>
            <w:tcBorders>
              <w:top w:val="single" w:color="auto" w:sz="2" w:space="0"/>
              <w:left w:val="single" w:color="auto" w:sz="2" w:space="0"/>
              <w:right w:val="single" w:color="auto" w:sz="2" w:space="0"/>
            </w:tcBorders>
            <w:vAlign w:val="center"/>
          </w:tcPr>
          <w:p>
            <w:pPr>
              <w:pStyle w:val="29"/>
            </w:pPr>
            <w:r>
              <w:rPr>
                <w:rFonts w:hint="eastAsia"/>
              </w:rPr>
              <w:t>设 置 级 别</w:t>
            </w:r>
          </w:p>
        </w:tc>
        <w:tc>
          <w:tcPr>
            <w:tcW w:w="5250" w:type="dxa"/>
            <w:vMerge w:val="restart"/>
            <w:tcBorders>
              <w:top w:val="single" w:color="auto" w:sz="2" w:space="0"/>
              <w:left w:val="single" w:color="auto" w:sz="2" w:space="0"/>
              <w:right w:val="single" w:color="auto" w:sz="2" w:space="0"/>
            </w:tcBorders>
            <w:vAlign w:val="center"/>
          </w:tcPr>
          <w:p>
            <w:pPr>
              <w:pStyle w:val="29"/>
            </w:pPr>
            <w:r>
              <w:rPr>
                <w:rFonts w:hint="eastAsia"/>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blHeader/>
        </w:trPr>
        <w:tc>
          <w:tcPr>
            <w:tcW w:w="536" w:type="dxa"/>
            <w:vMerge w:val="continue"/>
            <w:tcBorders>
              <w:right w:val="single" w:color="auto" w:sz="2" w:space="0"/>
            </w:tcBorders>
            <w:vAlign w:val="center"/>
          </w:tcPr>
          <w:p>
            <w:pPr>
              <w:pStyle w:val="29"/>
            </w:pPr>
          </w:p>
        </w:tc>
        <w:tc>
          <w:tcPr>
            <w:tcW w:w="1443" w:type="dxa"/>
            <w:vMerge w:val="continue"/>
            <w:tcBorders>
              <w:left w:val="single" w:color="auto" w:sz="2" w:space="0"/>
              <w:bottom w:val="single" w:color="auto" w:sz="2" w:space="0"/>
              <w:right w:val="single" w:color="auto" w:sz="2" w:space="0"/>
            </w:tcBorders>
            <w:vAlign w:val="center"/>
          </w:tcPr>
          <w:p>
            <w:pPr>
              <w:pStyle w:val="29"/>
            </w:pPr>
          </w:p>
        </w:tc>
        <w:tc>
          <w:tcPr>
            <w:tcW w:w="1239" w:type="dxa"/>
            <w:tcBorders>
              <w:top w:val="single" w:color="auto" w:sz="2" w:space="0"/>
              <w:left w:val="single" w:color="auto" w:sz="2" w:space="0"/>
              <w:bottom w:val="single" w:color="auto" w:sz="2" w:space="0"/>
              <w:right w:val="single" w:color="auto" w:sz="2" w:space="0"/>
            </w:tcBorders>
            <w:vAlign w:val="center"/>
          </w:tcPr>
          <w:p>
            <w:pPr>
              <w:pStyle w:val="29"/>
            </w:pPr>
            <w:r>
              <w:rPr>
                <w:rFonts w:hint="eastAsia"/>
              </w:rPr>
              <w:t>建 筑 面 积</w:t>
            </w:r>
          </w:p>
        </w:tc>
        <w:tc>
          <w:tcPr>
            <w:tcW w:w="1239" w:type="dxa"/>
            <w:tcBorders>
              <w:top w:val="single" w:color="auto" w:sz="2" w:space="0"/>
              <w:left w:val="single" w:color="auto" w:sz="2" w:space="0"/>
              <w:bottom w:val="single" w:color="auto" w:sz="2" w:space="0"/>
              <w:right w:val="single" w:color="auto" w:sz="2" w:space="0"/>
            </w:tcBorders>
            <w:vAlign w:val="center"/>
          </w:tcPr>
          <w:p>
            <w:pPr>
              <w:pStyle w:val="29"/>
            </w:pPr>
            <w:r>
              <w:rPr>
                <w:rFonts w:hint="eastAsia"/>
              </w:rPr>
              <w:t>用 地 面 积</w:t>
            </w:r>
          </w:p>
        </w:tc>
        <w:tc>
          <w:tcPr>
            <w:tcW w:w="1124" w:type="dxa"/>
            <w:vMerge w:val="continue"/>
            <w:tcBorders>
              <w:left w:val="single" w:color="auto" w:sz="2" w:space="0"/>
              <w:bottom w:val="single" w:color="auto" w:sz="2" w:space="0"/>
              <w:right w:val="single" w:color="auto" w:sz="2" w:space="0"/>
            </w:tcBorders>
            <w:vAlign w:val="center"/>
          </w:tcPr>
          <w:p>
            <w:pPr>
              <w:pStyle w:val="29"/>
            </w:pPr>
          </w:p>
        </w:tc>
        <w:tc>
          <w:tcPr>
            <w:tcW w:w="1796" w:type="dxa"/>
            <w:vMerge w:val="continue"/>
            <w:tcBorders>
              <w:left w:val="single" w:color="auto" w:sz="2" w:space="0"/>
              <w:bottom w:val="single" w:color="auto" w:sz="2" w:space="0"/>
              <w:right w:val="single" w:color="auto" w:sz="2" w:space="0"/>
            </w:tcBorders>
            <w:vAlign w:val="center"/>
          </w:tcPr>
          <w:p>
            <w:pPr>
              <w:pStyle w:val="29"/>
            </w:pPr>
          </w:p>
        </w:tc>
        <w:tc>
          <w:tcPr>
            <w:tcW w:w="376" w:type="dxa"/>
            <w:tcBorders>
              <w:left w:val="single" w:color="auto" w:sz="2" w:space="0"/>
              <w:bottom w:val="single" w:color="auto" w:sz="2" w:space="0"/>
              <w:right w:val="single" w:color="auto" w:sz="2" w:space="0"/>
            </w:tcBorders>
            <w:vAlign w:val="center"/>
          </w:tcPr>
          <w:p>
            <w:pPr>
              <w:pStyle w:val="29"/>
            </w:pPr>
            <w:r>
              <w:rPr>
                <w:rFonts w:hint="eastAsia"/>
              </w:rPr>
              <w:t>片区级</w:t>
            </w:r>
          </w:p>
        </w:tc>
        <w:tc>
          <w:tcPr>
            <w:tcW w:w="376" w:type="dxa"/>
            <w:tcBorders>
              <w:left w:val="single" w:color="auto" w:sz="2" w:space="0"/>
              <w:bottom w:val="single" w:color="auto" w:sz="2" w:space="0"/>
              <w:right w:val="single" w:color="auto" w:sz="2" w:space="0"/>
            </w:tcBorders>
            <w:vAlign w:val="center"/>
          </w:tcPr>
          <w:p>
            <w:pPr>
              <w:pStyle w:val="29"/>
            </w:pPr>
            <w:r>
              <w:rPr>
                <w:rFonts w:hint="eastAsia"/>
              </w:rPr>
              <w:t>居住区级</w:t>
            </w:r>
          </w:p>
        </w:tc>
        <w:tc>
          <w:tcPr>
            <w:tcW w:w="376" w:type="dxa"/>
            <w:tcBorders>
              <w:left w:val="single" w:color="auto" w:sz="2" w:space="0"/>
              <w:bottom w:val="single" w:color="auto" w:sz="2" w:space="0"/>
              <w:right w:val="single" w:color="auto" w:sz="2" w:space="0"/>
            </w:tcBorders>
            <w:vAlign w:val="center"/>
          </w:tcPr>
          <w:p>
            <w:pPr>
              <w:pStyle w:val="29"/>
            </w:pPr>
            <w:r>
              <w:rPr>
                <w:rFonts w:hint="eastAsia"/>
              </w:rPr>
              <w:t>小区级</w:t>
            </w:r>
          </w:p>
        </w:tc>
        <w:tc>
          <w:tcPr>
            <w:tcW w:w="5250" w:type="dxa"/>
            <w:vMerge w:val="continue"/>
            <w:tcBorders>
              <w:left w:val="single" w:color="auto" w:sz="2" w:space="0"/>
              <w:bottom w:val="single" w:color="auto" w:sz="2" w:space="0"/>
              <w:right w:val="single" w:color="auto" w:sz="2"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536" w:type="dxa"/>
            <w:vMerge w:val="restart"/>
            <w:vAlign w:val="center"/>
          </w:tcPr>
          <w:p>
            <w:pPr>
              <w:pStyle w:val="30"/>
              <w:rPr>
                <w:rFonts w:ascii="宋体" w:eastAsia="宋体"/>
                <w:b/>
                <w:u w:val="none"/>
              </w:rPr>
            </w:pPr>
            <w:r>
              <w:rPr>
                <w:rFonts w:hint="eastAsia" w:ascii="宋体" w:eastAsia="宋体"/>
                <w:b/>
                <w:u w:val="none"/>
              </w:rPr>
              <w:t>商业</w:t>
            </w:r>
          </w:p>
          <w:p>
            <w:pPr>
              <w:pStyle w:val="30"/>
              <w:rPr>
                <w:rFonts w:ascii="宋体" w:eastAsia="宋体"/>
                <w:u w:val="none"/>
              </w:rPr>
            </w:pPr>
            <w:r>
              <w:rPr>
                <w:rFonts w:hint="eastAsia" w:ascii="宋体" w:eastAsia="宋体"/>
                <w:b/>
                <w:u w:val="none"/>
              </w:rPr>
              <w:t>服务设施</w:t>
            </w:r>
          </w:p>
        </w:tc>
        <w:tc>
          <w:tcPr>
            <w:tcW w:w="1443" w:type="dxa"/>
            <w:vMerge w:val="restart"/>
            <w:tcBorders>
              <w:top w:val="single" w:color="auto" w:sz="4" w:space="0"/>
              <w:left w:val="single" w:color="auto" w:sz="4" w:space="0"/>
              <w:right w:val="single" w:color="auto" w:sz="4" w:space="0"/>
            </w:tcBorders>
            <w:vAlign w:val="center"/>
          </w:tcPr>
          <w:p>
            <w:pPr>
              <w:pStyle w:val="30"/>
              <w:rPr>
                <w:rFonts w:ascii="宋体" w:eastAsia="宋体"/>
                <w:u w:val="none"/>
              </w:rPr>
            </w:pPr>
            <w:r>
              <w:rPr>
                <w:rFonts w:hint="eastAsia" w:ascii="宋体" w:eastAsia="宋体"/>
                <w:u w:val="none"/>
              </w:rPr>
              <w:t>农贸市场、肉菜市场</w:t>
            </w:r>
          </w:p>
          <w:p>
            <w:pPr>
              <w:pStyle w:val="30"/>
              <w:rPr>
                <w:u w:val="none"/>
              </w:rPr>
            </w:pPr>
            <w:r>
              <w:rPr>
                <w:rFonts w:hint="eastAsia" w:ascii="宋体" w:eastAsia="宋体"/>
                <w:u w:val="none"/>
              </w:rPr>
              <w:t>（生鲜超市）</w:t>
            </w:r>
          </w:p>
        </w:tc>
        <w:tc>
          <w:tcPr>
            <w:tcW w:w="1239"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r>
              <w:rPr>
                <w:rFonts w:hint="eastAsia" w:ascii="宋体" w:eastAsia="宋体"/>
                <w:u w:val="none"/>
              </w:rPr>
              <w:t>2000～2500</w:t>
            </w:r>
          </w:p>
        </w:tc>
        <w:tc>
          <w:tcPr>
            <w:tcW w:w="1239"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r>
              <w:rPr>
                <w:rFonts w:hint="eastAsia" w:ascii="宋体" w:eastAsia="宋体"/>
                <w:u w:val="none"/>
              </w:rPr>
              <w:t>3～5</w:t>
            </w:r>
          </w:p>
        </w:tc>
        <w:tc>
          <w:tcPr>
            <w:tcW w:w="1796" w:type="dxa"/>
            <w:tcBorders>
              <w:top w:val="single" w:color="auto" w:sz="4" w:space="0"/>
              <w:left w:val="single" w:color="auto" w:sz="4" w:space="0"/>
              <w:right w:val="single" w:color="auto" w:sz="4" w:space="0"/>
            </w:tcBorders>
            <w:vAlign w:val="center"/>
          </w:tcPr>
          <w:p>
            <w:pPr>
              <w:pStyle w:val="30"/>
              <w:jc w:val="both"/>
              <w:rPr>
                <w:rFonts w:ascii="宋体" w:eastAsia="宋体"/>
                <w:u w:val="none"/>
              </w:rPr>
            </w:pPr>
          </w:p>
        </w:tc>
        <w:tc>
          <w:tcPr>
            <w:tcW w:w="376" w:type="dxa"/>
            <w:vMerge w:val="restart"/>
            <w:tcBorders>
              <w:top w:val="single" w:color="auto" w:sz="4" w:space="0"/>
              <w:left w:val="single" w:color="auto" w:sz="4" w:space="0"/>
              <w:right w:val="single" w:color="auto" w:sz="4" w:space="0"/>
            </w:tcBorders>
          </w:tcPr>
          <w:p>
            <w:pPr>
              <w:pStyle w:val="30"/>
              <w:rPr>
                <w:u w:val="none"/>
              </w:rPr>
            </w:pPr>
          </w:p>
        </w:tc>
        <w:tc>
          <w:tcPr>
            <w:tcW w:w="376" w:type="dxa"/>
            <w:vMerge w:val="restart"/>
            <w:tcBorders>
              <w:top w:val="single" w:color="auto" w:sz="4" w:space="0"/>
              <w:left w:val="single" w:color="auto" w:sz="4" w:space="0"/>
              <w:right w:val="single" w:color="auto" w:sz="4" w:space="0"/>
            </w:tcBorders>
            <w:vAlign w:val="center"/>
          </w:tcPr>
          <w:p>
            <w:pPr>
              <w:pStyle w:val="30"/>
              <w:rPr>
                <w:u w:val="none"/>
              </w:rPr>
            </w:pPr>
            <w:r>
              <w:rPr>
                <w:rFonts w:hint="eastAsia"/>
                <w:u w:val="none"/>
              </w:rPr>
              <w:t>▲</w:t>
            </w:r>
          </w:p>
        </w:tc>
        <w:tc>
          <w:tcPr>
            <w:tcW w:w="376" w:type="dxa"/>
            <w:vMerge w:val="restart"/>
            <w:tcBorders>
              <w:top w:val="single" w:color="auto" w:sz="4" w:space="0"/>
              <w:left w:val="single" w:color="auto" w:sz="4" w:space="0"/>
              <w:right w:val="single" w:color="auto" w:sz="4" w:space="0"/>
            </w:tcBorders>
            <w:vAlign w:val="center"/>
          </w:tcPr>
          <w:p>
            <w:pPr>
              <w:pStyle w:val="30"/>
              <w:rPr>
                <w:u w:val="none"/>
              </w:rPr>
            </w:pPr>
            <w:r>
              <w:rPr>
                <w:rFonts w:hint="eastAsia"/>
                <w:u w:val="none"/>
              </w:rPr>
              <w:t>△</w:t>
            </w:r>
          </w:p>
        </w:tc>
        <w:tc>
          <w:tcPr>
            <w:tcW w:w="5250" w:type="dxa"/>
            <w:vMerge w:val="restart"/>
            <w:tcBorders>
              <w:top w:val="single" w:color="auto" w:sz="4" w:space="0"/>
              <w:left w:val="single" w:color="auto" w:sz="4" w:space="0"/>
              <w:right w:val="single" w:color="auto" w:sz="4" w:space="0"/>
            </w:tcBorders>
            <w:vAlign w:val="center"/>
          </w:tcPr>
          <w:p>
            <w:pPr>
              <w:pStyle w:val="30"/>
              <w:ind w:firstLine="360" w:firstLineChars="200"/>
              <w:jc w:val="both"/>
              <w:rPr>
                <w:rFonts w:ascii="宋体" w:eastAsia="宋体"/>
                <w:u w:val="none"/>
              </w:rPr>
            </w:pPr>
            <w:r>
              <w:rPr>
                <w:rFonts w:hint="eastAsia" w:ascii="宋体" w:eastAsia="宋体"/>
                <w:u w:val="none"/>
              </w:rPr>
              <w:t>肉菜市场应达到居住区级规模设置，城乡边缘地段新区居住人口不足时允许设置小区级肉菜市场（生鲜超市）。</w:t>
            </w:r>
          </w:p>
          <w:p>
            <w:pPr>
              <w:pStyle w:val="30"/>
              <w:ind w:firstLine="360" w:firstLineChars="200"/>
              <w:jc w:val="both"/>
              <w:rPr>
                <w:rFonts w:ascii="宋体" w:eastAsia="宋体"/>
                <w:u w:val="none"/>
              </w:rPr>
            </w:pPr>
            <w:r>
              <w:rPr>
                <w:rFonts w:hint="eastAsia" w:ascii="宋体" w:eastAsia="宋体"/>
                <w:u w:val="none"/>
              </w:rPr>
              <w:t>新区肉菜市场宜独立用地，老城区允许结合非住宅建筑设置。肉菜市场宜设在运输车辆易于进出的相对独立地段，与住宅要有一定的隔离措施；应保证全部或1/2以上的面积设在首层，且有方便的对外出入口，禁止露天设置。</w:t>
            </w:r>
          </w:p>
          <w:p>
            <w:pPr>
              <w:pStyle w:val="30"/>
              <w:ind w:firstLine="360" w:firstLineChars="200"/>
              <w:jc w:val="both"/>
              <w:rPr>
                <w:rFonts w:ascii="宋体" w:eastAsia="宋体"/>
                <w:u w:val="none"/>
              </w:rPr>
            </w:pPr>
            <w:r>
              <w:rPr>
                <w:rFonts w:hint="eastAsia" w:ascii="宋体" w:eastAsia="宋体"/>
                <w:u w:val="none"/>
              </w:rPr>
              <w:t>市场室内净空高度不应低于4m。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36" w:type="dxa"/>
            <w:vMerge w:val="continue"/>
            <w:vAlign w:val="center"/>
          </w:tcPr>
          <w:p>
            <w:pPr>
              <w:pStyle w:val="30"/>
              <w:rPr>
                <w:u w:val="none"/>
              </w:rPr>
            </w:pPr>
          </w:p>
        </w:tc>
        <w:tc>
          <w:tcPr>
            <w:tcW w:w="1443" w:type="dxa"/>
            <w:vMerge w:val="continue"/>
            <w:tcBorders>
              <w:left w:val="single" w:color="auto" w:sz="4" w:space="0"/>
              <w:right w:val="single" w:color="auto" w:sz="4" w:space="0"/>
            </w:tcBorders>
            <w:vAlign w:val="center"/>
          </w:tcPr>
          <w:p>
            <w:pPr>
              <w:pStyle w:val="30"/>
              <w:rPr>
                <w:u w:val="none"/>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r>
              <w:rPr>
                <w:rFonts w:hint="eastAsia" w:ascii="宋体" w:eastAsia="宋体"/>
                <w:u w:val="none"/>
              </w:rPr>
              <w:t>1000～1500</w:t>
            </w:r>
          </w:p>
        </w:tc>
        <w:tc>
          <w:tcPr>
            <w:tcW w:w="1239"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r>
              <w:rPr>
                <w:rFonts w:hint="eastAsia" w:ascii="宋体" w:eastAsia="宋体"/>
                <w:u w:val="none"/>
              </w:rPr>
              <w:t>1～1.5</w:t>
            </w:r>
          </w:p>
        </w:tc>
        <w:tc>
          <w:tcPr>
            <w:tcW w:w="1796" w:type="dxa"/>
            <w:tcBorders>
              <w:left w:val="single" w:color="auto" w:sz="4" w:space="0"/>
              <w:right w:val="single" w:color="auto" w:sz="4" w:space="0"/>
            </w:tcBorders>
            <w:vAlign w:val="center"/>
          </w:tcPr>
          <w:p>
            <w:pPr>
              <w:pStyle w:val="30"/>
              <w:jc w:val="both"/>
              <w:rPr>
                <w:rFonts w:ascii="宋体" w:eastAsia="宋体"/>
                <w:u w:val="none"/>
              </w:rPr>
            </w:pPr>
            <w:r>
              <w:rPr>
                <w:rFonts w:hint="eastAsia" w:ascii="宋体" w:eastAsia="宋体"/>
                <w:u w:val="none"/>
              </w:rPr>
              <w:t>小区级服务半径</w:t>
            </w:r>
          </w:p>
          <w:p>
            <w:pPr>
              <w:pStyle w:val="30"/>
              <w:jc w:val="both"/>
              <w:rPr>
                <w:rFonts w:ascii="宋体" w:eastAsia="宋体"/>
                <w:u w:val="none"/>
              </w:rPr>
            </w:pPr>
            <w:r>
              <w:rPr>
                <w:rFonts w:hint="eastAsia" w:ascii="宋体" w:eastAsia="宋体"/>
                <w:u w:val="none"/>
              </w:rPr>
              <w:t>不宜超过300m</w:t>
            </w:r>
          </w:p>
        </w:tc>
        <w:tc>
          <w:tcPr>
            <w:tcW w:w="376" w:type="dxa"/>
            <w:vMerge w:val="continue"/>
            <w:tcBorders>
              <w:left w:val="single" w:color="auto" w:sz="4" w:space="0"/>
              <w:right w:val="single" w:color="auto" w:sz="4" w:space="0"/>
            </w:tcBorders>
          </w:tcPr>
          <w:p>
            <w:pPr>
              <w:pStyle w:val="30"/>
              <w:rPr>
                <w:u w:val="none"/>
              </w:rPr>
            </w:pPr>
          </w:p>
        </w:tc>
        <w:tc>
          <w:tcPr>
            <w:tcW w:w="376" w:type="dxa"/>
            <w:vMerge w:val="continue"/>
            <w:tcBorders>
              <w:left w:val="single" w:color="auto" w:sz="4" w:space="0"/>
              <w:right w:val="single" w:color="auto" w:sz="4" w:space="0"/>
            </w:tcBorders>
          </w:tcPr>
          <w:p>
            <w:pPr>
              <w:pStyle w:val="30"/>
              <w:rPr>
                <w:u w:val="none"/>
              </w:rPr>
            </w:pPr>
          </w:p>
        </w:tc>
        <w:tc>
          <w:tcPr>
            <w:tcW w:w="376" w:type="dxa"/>
            <w:vMerge w:val="continue"/>
            <w:tcBorders>
              <w:left w:val="single" w:color="auto" w:sz="4" w:space="0"/>
              <w:right w:val="single" w:color="auto" w:sz="4" w:space="0"/>
            </w:tcBorders>
          </w:tcPr>
          <w:p>
            <w:pPr>
              <w:pStyle w:val="30"/>
              <w:rPr>
                <w:u w:val="none"/>
              </w:rPr>
            </w:pPr>
          </w:p>
        </w:tc>
        <w:tc>
          <w:tcPr>
            <w:tcW w:w="5250" w:type="dxa"/>
            <w:vMerge w:val="continue"/>
            <w:tcBorders>
              <w:left w:val="single" w:color="auto" w:sz="4" w:space="0"/>
              <w:right w:val="single" w:color="auto" w:sz="4" w:space="0"/>
            </w:tcBorders>
            <w:vAlign w:val="center"/>
          </w:tcPr>
          <w:p>
            <w:pPr>
              <w:pStyle w:val="30"/>
              <w:rPr>
                <w:u w:val="none"/>
              </w:rPr>
            </w:pPr>
          </w:p>
        </w:tc>
      </w:tr>
    </w:tbl>
    <w:p>
      <w:pPr>
        <w:spacing w:line="360" w:lineRule="exact"/>
        <w:rPr>
          <w:sz w:val="24"/>
          <w:szCs w:val="24"/>
        </w:rPr>
      </w:pPr>
      <w:r>
        <w:rPr>
          <w:rFonts w:hint="eastAsia"/>
          <w:sz w:val="24"/>
          <w:szCs w:val="24"/>
        </w:rPr>
        <w:t>注： 1、本表中“片区级”公共服务设施是指服务规模超过居住区，需要进行区域统筹面向居住生活服务的公共设施。</w:t>
      </w:r>
    </w:p>
    <w:p>
      <w:pPr>
        <w:spacing w:line="360" w:lineRule="exact"/>
        <w:ind w:left="1040" w:leftChars="200" w:hanging="480" w:hangingChars="200"/>
        <w:rPr>
          <w:sz w:val="24"/>
          <w:szCs w:val="24"/>
        </w:rPr>
      </w:pPr>
      <w:r>
        <w:rPr>
          <w:rFonts w:hint="eastAsia"/>
          <w:sz w:val="24"/>
          <w:szCs w:val="24"/>
        </w:rPr>
        <w:t>2、 ▲为应设置的项目，△为宜设置的项目。</w:t>
      </w:r>
    </w:p>
    <w:p>
      <w:pPr>
        <w:spacing w:line="360" w:lineRule="exact"/>
        <w:ind w:left="1040" w:leftChars="200" w:hanging="480" w:hangingChars="200"/>
        <w:rPr>
          <w:sz w:val="24"/>
          <w:szCs w:val="24"/>
        </w:rPr>
      </w:pPr>
      <w:r>
        <w:rPr>
          <w:rFonts w:hint="eastAsia"/>
          <w:sz w:val="24"/>
          <w:szCs w:val="24"/>
        </w:rPr>
        <w:t>3、 本表人口规模采用“标准户”，取户均3.2人，每户1</w:t>
      </w:r>
      <w:r>
        <w:rPr>
          <w:sz w:val="24"/>
          <w:szCs w:val="24"/>
        </w:rPr>
        <w:t>2</w:t>
      </w:r>
      <w:r>
        <w:rPr>
          <w:rFonts w:hint="eastAsia"/>
          <w:sz w:val="24"/>
          <w:szCs w:val="24"/>
        </w:rPr>
        <w:t>0㎡住宅建筑面积作为1个标准户，建立公共服务设施与居住开发总量的对应关系。</w:t>
      </w:r>
    </w:p>
    <w:p>
      <w:pPr>
        <w:spacing w:line="360" w:lineRule="exact"/>
        <w:ind w:left="1040" w:leftChars="200" w:hanging="480" w:hangingChars="200"/>
        <w:rPr>
          <w:sz w:val="24"/>
          <w:szCs w:val="24"/>
        </w:rPr>
      </w:pPr>
      <w:r>
        <w:rPr>
          <w:rFonts w:hint="eastAsia"/>
          <w:sz w:val="24"/>
          <w:szCs w:val="24"/>
        </w:rPr>
        <w:t>4、 表中居住区指标不含小区和组团指标，小区指标含组团指标。</w:t>
      </w:r>
    </w:p>
    <w:p>
      <w:pPr>
        <w:spacing w:line="360" w:lineRule="exact"/>
        <w:ind w:left="1040" w:leftChars="200" w:hanging="480" w:hangingChars="200"/>
        <w:rPr>
          <w:sz w:val="24"/>
          <w:szCs w:val="24"/>
        </w:rPr>
      </w:pPr>
      <w:r>
        <w:rPr>
          <w:rFonts w:hint="eastAsia"/>
          <w:sz w:val="24"/>
          <w:szCs w:val="24"/>
        </w:rPr>
        <w:t>5、 市中心城区用地紧张时，教育设施（中小学、幼儿园）用地规模可按本表“一般规模”用地面积乘以0.</w:t>
      </w:r>
      <w:r>
        <w:rPr>
          <w:sz w:val="24"/>
          <w:szCs w:val="24"/>
        </w:rPr>
        <w:t>6</w:t>
      </w:r>
      <w:r>
        <w:rPr>
          <w:rFonts w:hint="eastAsia"/>
          <w:sz w:val="24"/>
          <w:szCs w:val="24"/>
        </w:rPr>
        <w:t>系数确定。</w:t>
      </w:r>
    </w:p>
    <w:p>
      <w:pPr>
        <w:spacing w:line="360" w:lineRule="exact"/>
        <w:ind w:left="1040" w:leftChars="200" w:hanging="480" w:hangingChars="200"/>
        <w:rPr>
          <w:sz w:val="24"/>
          <w:szCs w:val="24"/>
        </w:rPr>
      </w:pPr>
      <w:r>
        <w:rPr>
          <w:rFonts w:hint="eastAsia"/>
          <w:sz w:val="24"/>
          <w:szCs w:val="24"/>
        </w:rPr>
        <w:t>6、 表中未明确用地面积的，可结合其它建筑设置。要求首层设置的项目，若集中设置在公共服务中心大楼，规划设置要求视具体情况确定。</w:t>
      </w:r>
    </w:p>
    <w:p>
      <w:pPr>
        <w:spacing w:line="360" w:lineRule="exact"/>
        <w:ind w:left="1040" w:leftChars="200" w:hanging="480" w:hangingChars="200"/>
        <w:rPr>
          <w:sz w:val="24"/>
          <w:szCs w:val="24"/>
        </w:rPr>
      </w:pPr>
      <w:r>
        <w:rPr>
          <w:rFonts w:hint="eastAsia"/>
          <w:sz w:val="24"/>
          <w:szCs w:val="24"/>
        </w:rPr>
        <w:t>7、 综合文化活动中心的指标中不包含电影院面积。</w:t>
      </w:r>
    </w:p>
    <w:p>
      <w:pPr>
        <w:spacing w:line="360" w:lineRule="exact"/>
        <w:ind w:left="1040" w:leftChars="200" w:hanging="480" w:hangingChars="200"/>
        <w:rPr>
          <w:sz w:val="24"/>
          <w:szCs w:val="24"/>
        </w:rPr>
      </w:pPr>
      <w:r>
        <w:rPr>
          <w:rFonts w:hint="eastAsia"/>
          <w:sz w:val="24"/>
          <w:szCs w:val="24"/>
        </w:rPr>
        <w:t>8、 除肉菜市场之外的商业服务设施，按照每千人300-1000㎡，即每标准户1～3㎡控制建筑面积总量。商业设施宜独立用地或集中设置。</w:t>
      </w:r>
    </w:p>
    <w:p>
      <w:pPr>
        <w:spacing w:line="360" w:lineRule="exact"/>
        <w:ind w:left="1040" w:leftChars="200" w:hanging="480" w:hangingChars="200"/>
        <w:rPr>
          <w:sz w:val="24"/>
          <w:szCs w:val="24"/>
        </w:rPr>
      </w:pPr>
      <w:r>
        <w:rPr>
          <w:rFonts w:hint="eastAsia"/>
          <w:sz w:val="24"/>
          <w:szCs w:val="24"/>
        </w:rPr>
        <w:t>9、 居住区及小区内不得设置扰民设施。商业服务内容包括综合百货、超市、餐饮、中西药店、书报、银行储蓄所、小型影视厅、电信营业所、美容、综合修理、再生资源回收站等；餐饮项目宜独立设置，并设餐饮专用烟道。</w:t>
      </w:r>
    </w:p>
    <w:p>
      <w:pPr>
        <w:spacing w:line="360" w:lineRule="exact"/>
        <w:ind w:left="1040" w:leftChars="200" w:hanging="480" w:hangingChars="200"/>
        <w:rPr>
          <w:sz w:val="24"/>
          <w:szCs w:val="24"/>
        </w:rPr>
      </w:pPr>
      <w:r>
        <w:rPr>
          <w:rFonts w:hint="eastAsia"/>
          <w:sz w:val="24"/>
          <w:szCs w:val="24"/>
        </w:rPr>
        <w:t>10、居住区或居住小区级的文化娱乐和体育设施宜集中布置于交通便利的中心地段，分别形成居住区或居住小区级公共活动中心。</w:t>
      </w:r>
    </w:p>
    <w:p>
      <w:pPr>
        <w:spacing w:line="360" w:lineRule="exact"/>
        <w:ind w:left="1040" w:leftChars="200" w:hanging="480" w:hangingChars="200"/>
        <w:rPr>
          <w:sz w:val="24"/>
          <w:szCs w:val="24"/>
        </w:rPr>
      </w:pPr>
      <w:r>
        <w:rPr>
          <w:rFonts w:hint="eastAsia"/>
          <w:sz w:val="24"/>
          <w:szCs w:val="24"/>
        </w:rPr>
        <w:t>11、由开发建设单位投资建设且无偿提供给社区服务的公共服务设施用房可不计算容积率（如居委会、垃圾站、公厕等）。</w:t>
      </w:r>
    </w:p>
    <w:p>
      <w:pPr>
        <w:spacing w:line="360" w:lineRule="exact"/>
        <w:ind w:left="1120" w:leftChars="200" w:hanging="560" w:hangingChars="200"/>
        <w:sectPr>
          <w:footerReference r:id="rId5" w:type="default"/>
          <w:pgSz w:w="16838" w:h="11906" w:orient="landscape"/>
          <w:pgMar w:top="1134" w:right="1418" w:bottom="1134" w:left="1418" w:header="851" w:footer="680" w:gutter="284"/>
          <w:cols w:space="425" w:num="1"/>
          <w:docGrid w:type="lines" w:linePitch="560" w:charSpace="0"/>
        </w:sectPr>
      </w:pPr>
    </w:p>
    <w:p>
      <w:pPr>
        <w:pStyle w:val="3"/>
        <w:numPr>
          <w:ilvl w:val="1"/>
          <w:numId w:val="1"/>
        </w:numPr>
        <w:ind w:left="941" w:hanging="940" w:hangingChars="294"/>
        <w:rPr>
          <w:lang w:eastAsia="zh-CN"/>
        </w:rPr>
      </w:pPr>
      <w:bookmarkStart w:id="15" w:name="_Toc523230039"/>
      <w:r>
        <w:rPr>
          <w:rFonts w:hint="eastAsia"/>
          <w:lang w:eastAsia="zh-CN"/>
        </w:rPr>
        <w:t>配建停车场（库）</w:t>
      </w:r>
      <w:bookmarkEnd w:id="15"/>
    </w:p>
    <w:p>
      <w:pPr>
        <w:pStyle w:val="22"/>
        <w:numPr>
          <w:ilvl w:val="2"/>
          <w:numId w:val="1"/>
        </w:numPr>
        <w:ind w:left="0" w:firstLine="560"/>
      </w:pPr>
      <w:r>
        <w:rPr>
          <w:rFonts w:hint="eastAsia"/>
        </w:rPr>
        <w:t>城乡停车规划估算停车场用地时，地面停车场小型车按每车停放面积25～30平方米，大型车按每车停放面积50～60平方米计算；地下停车库、地上停车楼按每车建筑面积30～40平方米计算（不含机械式停车库）。</w:t>
      </w:r>
    </w:p>
    <w:p>
      <w:pPr>
        <w:pStyle w:val="22"/>
        <w:numPr>
          <w:ilvl w:val="2"/>
          <w:numId w:val="1"/>
        </w:numPr>
        <w:ind w:left="0" w:firstLine="560"/>
      </w:pPr>
      <w:r>
        <w:rPr>
          <w:rFonts w:hint="eastAsia"/>
        </w:rPr>
        <w:t>新建项目配建停车位指标应符合表</w:t>
      </w:r>
      <w:r>
        <w:t>3.3.2</w:t>
      </w:r>
      <w:r>
        <w:rPr>
          <w:rFonts w:hint="eastAsia"/>
        </w:rPr>
        <w:t>规定。</w:t>
      </w:r>
    </w:p>
    <w:p>
      <w:pPr>
        <w:pStyle w:val="6"/>
        <w:keepNext/>
        <w:rPr>
          <w:sz w:val="24"/>
          <w:szCs w:val="24"/>
        </w:rPr>
      </w:pPr>
      <w:r>
        <w:rPr>
          <w:sz w:val="24"/>
          <w:szCs w:val="24"/>
        </w:rPr>
        <w:t>表3.</w:t>
      </w:r>
      <w:r>
        <w:rPr>
          <w:rFonts w:hint="eastAsia"/>
          <w:sz w:val="24"/>
          <w:szCs w:val="24"/>
        </w:rPr>
        <w:t>3</w:t>
      </w:r>
      <w:r>
        <w:rPr>
          <w:sz w:val="24"/>
          <w:szCs w:val="24"/>
        </w:rPr>
        <w:t xml:space="preserve">.2 </w:t>
      </w:r>
      <w:r>
        <w:rPr>
          <w:rFonts w:hint="eastAsia"/>
          <w:sz w:val="24"/>
          <w:szCs w:val="24"/>
        </w:rPr>
        <w:t>各类建设项目配建</w:t>
      </w:r>
      <w:r>
        <w:rPr>
          <w:sz w:val="24"/>
          <w:szCs w:val="24"/>
        </w:rPr>
        <w:t>停车</w:t>
      </w:r>
      <w:r>
        <w:rPr>
          <w:rFonts w:hint="eastAsia"/>
          <w:sz w:val="24"/>
          <w:szCs w:val="24"/>
        </w:rPr>
        <w:t>位</w:t>
      </w:r>
      <w:r>
        <w:rPr>
          <w:sz w:val="24"/>
          <w:szCs w:val="24"/>
        </w:rPr>
        <w:t>指标</w:t>
      </w:r>
    </w:p>
    <w:tbl>
      <w:tblPr>
        <w:tblStyle w:val="1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180"/>
        <w:gridCol w:w="2987"/>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73" w:type="dxa"/>
            <w:gridSpan w:val="2"/>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建  筑  类  别</w:t>
            </w:r>
          </w:p>
        </w:tc>
        <w:tc>
          <w:tcPr>
            <w:tcW w:w="2987"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计 算 单 位</w:t>
            </w:r>
          </w:p>
        </w:tc>
        <w:tc>
          <w:tcPr>
            <w:tcW w:w="1392"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小汽车位</w:t>
            </w:r>
          </w:p>
        </w:tc>
        <w:tc>
          <w:tcPr>
            <w:tcW w:w="1392" w:type="dxa"/>
            <w:vAlign w:val="center"/>
          </w:tcPr>
          <w:p>
            <w:pPr>
              <w:spacing w:line="300" w:lineRule="exact"/>
              <w:jc w:val="center"/>
              <w:rPr>
                <w:rFonts w:hAnsi="宋体"/>
                <w:b/>
                <w:bCs/>
                <w:sz w:val="21"/>
                <w:szCs w:val="30"/>
              </w:rPr>
            </w:pPr>
            <w:r>
              <w:rPr>
                <w:rFonts w:hint="eastAsia" w:hAnsi="宋体"/>
                <w:b/>
                <w:bCs/>
                <w:sz w:val="21"/>
                <w:szCs w:val="30"/>
              </w:rPr>
              <w:t>自行车位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vMerge w:val="restart"/>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住  宅</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普通住宅</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㎡住宅建筑面积</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1.0</w:t>
            </w:r>
          </w:p>
        </w:tc>
        <w:tc>
          <w:tcPr>
            <w:tcW w:w="1392" w:type="dxa"/>
            <w:vAlign w:val="center"/>
          </w:tcPr>
          <w:p>
            <w:pPr>
              <w:spacing w:line="300" w:lineRule="exact"/>
              <w:jc w:val="center"/>
              <w:rPr>
                <w:rFonts w:hAnsi="宋体"/>
                <w:sz w:val="21"/>
                <w:szCs w:val="21"/>
              </w:rPr>
            </w:pPr>
            <w:r>
              <w:rPr>
                <w:rFonts w:hint="eastAsia" w:hAnsi="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vMerge w:val="continue"/>
            <w:tcMar>
              <w:left w:w="0" w:type="dxa"/>
              <w:right w:w="0" w:type="dxa"/>
            </w:tcMar>
            <w:vAlign w:val="center"/>
          </w:tcPr>
          <w:p>
            <w:pPr>
              <w:spacing w:line="300" w:lineRule="exact"/>
              <w:jc w:val="center"/>
              <w:rPr>
                <w:rFonts w:hAnsi="宋体"/>
                <w:b/>
                <w:bCs/>
                <w:sz w:val="21"/>
                <w:szCs w:val="30"/>
              </w:rPr>
            </w:pP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保障性住房</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㎡住宅建筑面积</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0.3</w:t>
            </w:r>
          </w:p>
        </w:tc>
        <w:tc>
          <w:tcPr>
            <w:tcW w:w="1392" w:type="dxa"/>
            <w:vAlign w:val="center"/>
          </w:tcPr>
          <w:p>
            <w:pPr>
              <w:spacing w:line="300" w:lineRule="exact"/>
              <w:jc w:val="center"/>
              <w:rPr>
                <w:rFonts w:hAnsi="宋体"/>
                <w:sz w:val="21"/>
                <w:szCs w:val="21"/>
              </w:rPr>
            </w:pP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办公设施</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行政、商务办公</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㎡建筑面积</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1.</w:t>
            </w:r>
            <w:r>
              <w:rPr>
                <w:rFonts w:hAnsi="宋体"/>
                <w:sz w:val="21"/>
                <w:szCs w:val="21"/>
              </w:rPr>
              <w:t>2</w:t>
            </w:r>
          </w:p>
        </w:tc>
        <w:tc>
          <w:tcPr>
            <w:tcW w:w="1392" w:type="dxa"/>
            <w:vAlign w:val="center"/>
          </w:tcPr>
          <w:p>
            <w:pPr>
              <w:spacing w:line="300" w:lineRule="exact"/>
              <w:jc w:val="center"/>
              <w:rPr>
                <w:rFonts w:hAnsi="宋体"/>
                <w:sz w:val="21"/>
                <w:szCs w:val="21"/>
              </w:rPr>
            </w:pPr>
            <w:r>
              <w:rPr>
                <w:rFonts w:hint="eastAsia" w:hAnsi="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vMerge w:val="restart"/>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教育设施</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中小学、幼儿园</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pacing w:line="300" w:lineRule="exact"/>
              <w:jc w:val="center"/>
              <w:rPr>
                <w:rFonts w:hAnsi="宋体"/>
                <w:sz w:val="21"/>
                <w:szCs w:val="21"/>
              </w:rPr>
            </w:pPr>
            <w:r>
              <w:rPr>
                <w:rFonts w:hAnsi="宋体"/>
                <w:sz w:val="21"/>
                <w:szCs w:val="21"/>
              </w:rPr>
              <w:t>0.2</w:t>
            </w:r>
          </w:p>
        </w:tc>
        <w:tc>
          <w:tcPr>
            <w:tcW w:w="1392" w:type="dxa"/>
            <w:vAlign w:val="center"/>
          </w:tcPr>
          <w:p>
            <w:pPr>
              <w:spacing w:line="300" w:lineRule="exact"/>
              <w:jc w:val="center"/>
              <w:rPr>
                <w:rFonts w:hAnsi="宋体"/>
                <w:sz w:val="21"/>
                <w:szCs w:val="21"/>
              </w:rPr>
            </w:pPr>
            <w:r>
              <w:rPr>
                <w:rFonts w:hAnsi="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vMerge w:val="continue"/>
            <w:tcMar>
              <w:left w:w="0" w:type="dxa"/>
              <w:right w:w="0" w:type="dxa"/>
            </w:tcMar>
            <w:vAlign w:val="center"/>
          </w:tcPr>
          <w:p>
            <w:pPr>
              <w:spacing w:line="300" w:lineRule="exact"/>
              <w:jc w:val="center"/>
              <w:rPr>
                <w:rFonts w:hAnsi="宋体"/>
                <w:b/>
                <w:bCs/>
                <w:sz w:val="21"/>
                <w:szCs w:val="30"/>
              </w:rPr>
            </w:pP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大专院校、科研</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pacing w:line="300" w:lineRule="exact"/>
              <w:jc w:val="center"/>
              <w:rPr>
                <w:rFonts w:hAnsi="宋体"/>
                <w:sz w:val="21"/>
                <w:szCs w:val="21"/>
              </w:rPr>
            </w:pPr>
            <w:r>
              <w:rPr>
                <w:rFonts w:hAnsi="宋体"/>
                <w:sz w:val="21"/>
                <w:szCs w:val="21"/>
              </w:rPr>
              <w:t>0.3</w:t>
            </w:r>
          </w:p>
        </w:tc>
        <w:tc>
          <w:tcPr>
            <w:tcW w:w="1392" w:type="dxa"/>
            <w:vAlign w:val="center"/>
          </w:tcPr>
          <w:p>
            <w:pPr>
              <w:spacing w:line="300" w:lineRule="exact"/>
              <w:jc w:val="center"/>
              <w:rPr>
                <w:rFonts w:hAnsi="宋体"/>
                <w:sz w:val="21"/>
                <w:szCs w:val="21"/>
              </w:rPr>
            </w:pPr>
            <w:r>
              <w:rPr>
                <w:rFonts w:hAnsi="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vMerge w:val="restart"/>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文体设施</w:t>
            </w:r>
          </w:p>
        </w:tc>
        <w:tc>
          <w:tcPr>
            <w:tcW w:w="2180" w:type="dxa"/>
            <w:tcBorders>
              <w:bottom w:val="single" w:color="000000" w:sz="2" w:space="0"/>
            </w:tcBorders>
            <w:tcMar>
              <w:left w:w="0" w:type="dxa"/>
              <w:right w:w="0" w:type="dxa"/>
            </w:tcMar>
            <w:vAlign w:val="center"/>
          </w:tcPr>
          <w:p>
            <w:pPr>
              <w:spacing w:line="300" w:lineRule="exact"/>
              <w:jc w:val="center"/>
              <w:rPr>
                <w:rFonts w:hAnsi="宋体"/>
                <w:sz w:val="21"/>
                <w:szCs w:val="21"/>
              </w:rPr>
            </w:pPr>
            <w:r>
              <w:rPr>
                <w:rFonts w:hint="eastAsia" w:hAnsi="宋体"/>
                <w:sz w:val="21"/>
                <w:szCs w:val="21"/>
              </w:rPr>
              <w:t>运动场馆</w:t>
            </w:r>
          </w:p>
        </w:tc>
        <w:tc>
          <w:tcPr>
            <w:tcW w:w="2987" w:type="dxa"/>
            <w:tcBorders>
              <w:bottom w:val="single" w:color="000000" w:sz="2" w:space="0"/>
            </w:tcBorders>
            <w:tcMar>
              <w:left w:w="0" w:type="dxa"/>
              <w:right w:w="0" w:type="dxa"/>
            </w:tcMar>
            <w:vAlign w:val="center"/>
          </w:tcPr>
          <w:p>
            <w:pPr>
              <w:spacing w:line="300" w:lineRule="exact"/>
              <w:jc w:val="center"/>
              <w:rPr>
                <w:rFonts w:hAnsi="宋体"/>
                <w:sz w:val="21"/>
                <w:szCs w:val="21"/>
              </w:rPr>
            </w:pPr>
            <w:r>
              <w:rPr>
                <w:rFonts w:hint="eastAsia" w:hAnsi="宋体"/>
                <w:sz w:val="21"/>
                <w:szCs w:val="21"/>
              </w:rPr>
              <w:t>车位/100座</w:t>
            </w:r>
          </w:p>
        </w:tc>
        <w:tc>
          <w:tcPr>
            <w:tcW w:w="1392" w:type="dxa"/>
            <w:tcBorders>
              <w:bottom w:val="single" w:color="000000" w:sz="2" w:space="0"/>
            </w:tcBorders>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3.0</w:t>
            </w:r>
          </w:p>
        </w:tc>
        <w:tc>
          <w:tcPr>
            <w:tcW w:w="1392" w:type="dxa"/>
            <w:tcBorders>
              <w:bottom w:val="single" w:color="000000" w:sz="2" w:space="0"/>
            </w:tcBorders>
            <w:vAlign w:val="center"/>
          </w:tcPr>
          <w:p>
            <w:pPr>
              <w:snapToGrid w:val="0"/>
              <w:spacing w:line="300" w:lineRule="exact"/>
              <w:jc w:val="center"/>
              <w:rPr>
                <w:rFonts w:hAnsi="宋体"/>
                <w:sz w:val="21"/>
                <w:szCs w:val="21"/>
              </w:rPr>
            </w:pPr>
            <w:r>
              <w:rPr>
                <w:rFonts w:hint="eastAsia" w:hAnsi="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vMerge w:val="continue"/>
            <w:tcMar>
              <w:left w:w="0" w:type="dxa"/>
              <w:right w:w="0" w:type="dxa"/>
            </w:tcMar>
            <w:vAlign w:val="center"/>
          </w:tcPr>
          <w:p>
            <w:pPr>
              <w:spacing w:line="300" w:lineRule="exact"/>
              <w:jc w:val="center"/>
              <w:rPr>
                <w:rFonts w:hAnsi="宋体"/>
                <w:b/>
                <w:bCs/>
                <w:sz w:val="21"/>
                <w:szCs w:val="30"/>
              </w:rPr>
            </w:pP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图书展览文化场所</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1.0</w:t>
            </w:r>
          </w:p>
        </w:tc>
        <w:tc>
          <w:tcPr>
            <w:tcW w:w="1392" w:type="dxa"/>
            <w:vAlign w:val="center"/>
          </w:tcPr>
          <w:p>
            <w:pPr>
              <w:snapToGrid w:val="0"/>
              <w:spacing w:line="300" w:lineRule="exact"/>
              <w:jc w:val="center"/>
              <w:rPr>
                <w:rFonts w:hAnsi="宋体"/>
                <w:sz w:val="21"/>
                <w:szCs w:val="21"/>
              </w:rPr>
            </w:pPr>
            <w:r>
              <w:rPr>
                <w:rFonts w:hint="eastAsia"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vMerge w:val="restart"/>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医疗卫生</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综合性医院</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1.2</w:t>
            </w:r>
          </w:p>
        </w:tc>
        <w:tc>
          <w:tcPr>
            <w:tcW w:w="1392" w:type="dxa"/>
            <w:vAlign w:val="center"/>
          </w:tcPr>
          <w:p>
            <w:pPr>
              <w:snapToGrid w:val="0"/>
              <w:spacing w:line="300" w:lineRule="exact"/>
              <w:jc w:val="center"/>
              <w:rPr>
                <w:rFonts w:hAnsi="宋体"/>
                <w:sz w:val="21"/>
                <w:szCs w:val="21"/>
              </w:rPr>
            </w:pPr>
            <w:r>
              <w:rPr>
                <w:rFonts w:hint="eastAsia" w:hAnsi="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vMerge w:val="continue"/>
            <w:tcMar>
              <w:left w:w="0" w:type="dxa"/>
              <w:right w:w="0" w:type="dxa"/>
            </w:tcMar>
            <w:vAlign w:val="center"/>
          </w:tcPr>
          <w:p>
            <w:pPr>
              <w:spacing w:line="300" w:lineRule="exact"/>
              <w:jc w:val="center"/>
              <w:rPr>
                <w:rFonts w:hAnsi="宋体"/>
                <w:b/>
                <w:bCs/>
                <w:sz w:val="21"/>
                <w:szCs w:val="30"/>
              </w:rPr>
            </w:pP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社区医疗门诊</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1.0</w:t>
            </w:r>
          </w:p>
        </w:tc>
        <w:tc>
          <w:tcPr>
            <w:tcW w:w="1392" w:type="dxa"/>
            <w:vAlign w:val="center"/>
          </w:tcPr>
          <w:p>
            <w:pPr>
              <w:snapToGrid w:val="0"/>
              <w:spacing w:line="300" w:lineRule="exact"/>
              <w:jc w:val="center"/>
              <w:rPr>
                <w:rFonts w:hAnsi="宋体"/>
                <w:sz w:val="21"/>
                <w:szCs w:val="21"/>
              </w:rPr>
            </w:pP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vMerge w:val="restart"/>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商业市场</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商业、餐饮、超市</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1.0</w:t>
            </w:r>
          </w:p>
        </w:tc>
        <w:tc>
          <w:tcPr>
            <w:tcW w:w="1392" w:type="dxa"/>
            <w:vAlign w:val="center"/>
          </w:tcPr>
          <w:p>
            <w:pPr>
              <w:snapToGrid w:val="0"/>
              <w:spacing w:line="300" w:lineRule="exact"/>
              <w:jc w:val="center"/>
              <w:rPr>
                <w:rFonts w:hAnsi="宋体"/>
                <w:sz w:val="21"/>
                <w:szCs w:val="21"/>
              </w:rPr>
            </w:pPr>
            <w:r>
              <w:rPr>
                <w:rFonts w:hAnsi="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vMerge w:val="continue"/>
            <w:tcMar>
              <w:left w:w="0" w:type="dxa"/>
              <w:right w:w="0" w:type="dxa"/>
            </w:tcMar>
            <w:vAlign w:val="center"/>
          </w:tcPr>
          <w:p>
            <w:pPr>
              <w:spacing w:line="300" w:lineRule="exact"/>
              <w:jc w:val="center"/>
              <w:rPr>
                <w:rFonts w:hAnsi="宋体"/>
                <w:b/>
                <w:bCs/>
                <w:sz w:val="21"/>
                <w:szCs w:val="30"/>
              </w:rPr>
            </w:pP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农贸、批发市场</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0.6</w:t>
            </w:r>
          </w:p>
        </w:tc>
        <w:tc>
          <w:tcPr>
            <w:tcW w:w="1392" w:type="dxa"/>
            <w:vAlign w:val="center"/>
          </w:tcPr>
          <w:p>
            <w:pPr>
              <w:snapToGrid w:val="0"/>
              <w:spacing w:line="300" w:lineRule="exact"/>
              <w:jc w:val="center"/>
              <w:rPr>
                <w:rFonts w:hAnsi="宋体"/>
                <w:sz w:val="21"/>
                <w:szCs w:val="21"/>
              </w:rPr>
            </w:pPr>
            <w:r>
              <w:rPr>
                <w:rFonts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宾馆旅店</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酒店、宾馆</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Ansi="宋体"/>
                <w:sz w:val="21"/>
                <w:szCs w:val="21"/>
              </w:rPr>
              <w:t>1.0</w:t>
            </w:r>
          </w:p>
        </w:tc>
        <w:tc>
          <w:tcPr>
            <w:tcW w:w="1392" w:type="dxa"/>
            <w:vAlign w:val="center"/>
          </w:tcPr>
          <w:p>
            <w:pPr>
              <w:snapToGrid w:val="0"/>
              <w:spacing w:line="300" w:lineRule="exact"/>
              <w:jc w:val="center"/>
              <w:rPr>
                <w:rFonts w:hAnsi="宋体"/>
                <w:sz w:val="21"/>
                <w:szCs w:val="21"/>
              </w:rPr>
            </w:pPr>
            <w:r>
              <w:rPr>
                <w:rFonts w:hint="eastAsia" w:hAnsi="宋体"/>
                <w:sz w:val="21"/>
                <w:szCs w:val="21"/>
              </w:rPr>
              <w:t>0.</w:t>
            </w:r>
            <w:r>
              <w:rPr>
                <w:rFonts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娱乐设施</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影剧院、歌舞厅</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Ansi="宋体"/>
                <w:sz w:val="21"/>
                <w:szCs w:val="21"/>
              </w:rPr>
              <w:t>2</w:t>
            </w:r>
            <w:r>
              <w:rPr>
                <w:rFonts w:hint="eastAsia" w:hAnsi="宋体"/>
                <w:sz w:val="21"/>
                <w:szCs w:val="21"/>
              </w:rPr>
              <w:t>.0</w:t>
            </w:r>
          </w:p>
        </w:tc>
        <w:tc>
          <w:tcPr>
            <w:tcW w:w="1392" w:type="dxa"/>
            <w:vAlign w:val="center"/>
          </w:tcPr>
          <w:p>
            <w:pPr>
              <w:snapToGrid w:val="0"/>
              <w:spacing w:line="300" w:lineRule="exact"/>
              <w:jc w:val="center"/>
              <w:rPr>
                <w:rFonts w:hAnsi="宋体"/>
                <w:sz w:val="21"/>
                <w:szCs w:val="21"/>
              </w:rPr>
            </w:pPr>
            <w:r>
              <w:rPr>
                <w:rFonts w:hint="eastAsia"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工业仓储</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厂房、仓库</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0.3</w:t>
            </w:r>
          </w:p>
        </w:tc>
        <w:tc>
          <w:tcPr>
            <w:tcW w:w="1392" w:type="dxa"/>
            <w:vAlign w:val="center"/>
          </w:tcPr>
          <w:p>
            <w:pPr>
              <w:spacing w:line="300" w:lineRule="exact"/>
              <w:jc w:val="center"/>
              <w:rPr>
                <w:rFonts w:hAnsi="宋体"/>
                <w:sz w:val="21"/>
                <w:szCs w:val="21"/>
              </w:rPr>
            </w:pPr>
            <w:r>
              <w:rPr>
                <w:rFonts w:hint="eastAsia" w:hAnsi="宋体"/>
                <w:sz w:val="21"/>
                <w:szCs w:val="21"/>
              </w:rPr>
              <w:t>0.</w:t>
            </w:r>
            <w:r>
              <w:rPr>
                <w:rFonts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交通枢纽</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车站、码头</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车位/日千旅客设计量</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5.0</w:t>
            </w:r>
          </w:p>
        </w:tc>
        <w:tc>
          <w:tcPr>
            <w:tcW w:w="1392" w:type="dxa"/>
            <w:vAlign w:val="center"/>
          </w:tcPr>
          <w:p>
            <w:pPr>
              <w:spacing w:line="300" w:lineRule="exact"/>
              <w:jc w:val="center"/>
              <w:rPr>
                <w:rFonts w:hAnsi="宋体"/>
                <w:sz w:val="21"/>
                <w:szCs w:val="21"/>
              </w:rPr>
            </w:pPr>
            <w:r>
              <w:rPr>
                <w:rFonts w:hint="eastAsia"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广场绿地</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公园、休闲广场</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车位/公顷占地面积</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5～10</w:t>
            </w:r>
          </w:p>
        </w:tc>
        <w:tc>
          <w:tcPr>
            <w:tcW w:w="1392" w:type="dxa"/>
            <w:vAlign w:val="center"/>
          </w:tcPr>
          <w:p>
            <w:pPr>
              <w:spacing w:line="300" w:lineRule="exact"/>
              <w:jc w:val="center"/>
              <w:rPr>
                <w:rFonts w:hAnsi="宋体"/>
                <w:sz w:val="21"/>
                <w:szCs w:val="21"/>
              </w:rPr>
            </w:pPr>
            <w:r>
              <w:rPr>
                <w:rFonts w:hint="eastAsia" w:hAnsi="宋体"/>
                <w:sz w:val="21"/>
                <w:szCs w:val="21"/>
              </w:rPr>
              <w:t>5～10</w:t>
            </w:r>
          </w:p>
        </w:tc>
      </w:tr>
    </w:tbl>
    <w:p>
      <w:pPr>
        <w:spacing w:line="360" w:lineRule="exact"/>
        <w:rPr>
          <w:sz w:val="24"/>
          <w:szCs w:val="24"/>
        </w:rPr>
      </w:pPr>
      <w:r>
        <w:rPr>
          <w:rFonts w:hint="eastAsia"/>
          <w:sz w:val="24"/>
          <w:szCs w:val="24"/>
        </w:rPr>
        <w:t>注：1、配建停车位指标为下限值，其它未列建筑类别可参照本表相近建筑类型执行；</w:t>
      </w:r>
    </w:p>
    <w:p>
      <w:pPr>
        <w:spacing w:line="360" w:lineRule="exact"/>
        <w:ind w:left="920" w:leftChars="200" w:hanging="360" w:hangingChars="150"/>
        <w:rPr>
          <w:sz w:val="24"/>
          <w:szCs w:val="24"/>
        </w:rPr>
      </w:pPr>
      <w:r>
        <w:rPr>
          <w:rFonts w:hint="eastAsia"/>
          <w:sz w:val="24"/>
          <w:szCs w:val="24"/>
        </w:rPr>
        <w:t>2、表中建筑面积指计算容积率的建筑面积。</w:t>
      </w:r>
    </w:p>
    <w:p>
      <w:pPr>
        <w:spacing w:line="360" w:lineRule="exact"/>
        <w:ind w:left="920" w:leftChars="200" w:hanging="360" w:hangingChars="150"/>
        <w:rPr>
          <w:sz w:val="24"/>
          <w:szCs w:val="24"/>
        </w:rPr>
      </w:pPr>
      <w:r>
        <w:rPr>
          <w:sz w:val="24"/>
          <w:szCs w:val="24"/>
        </w:rPr>
        <w:t>3</w:t>
      </w:r>
      <w:r>
        <w:rPr>
          <w:rFonts w:hint="eastAsia"/>
          <w:sz w:val="24"/>
          <w:szCs w:val="24"/>
        </w:rPr>
        <w:t>、子母停车位按1</w:t>
      </w:r>
      <w:r>
        <w:rPr>
          <w:sz w:val="24"/>
          <w:szCs w:val="24"/>
        </w:rPr>
        <w:t>.5</w:t>
      </w:r>
      <w:r>
        <w:rPr>
          <w:rFonts w:hint="eastAsia"/>
          <w:sz w:val="24"/>
          <w:szCs w:val="24"/>
        </w:rPr>
        <w:t>个停车位计算。公共停车场停车位不纳入配建停车位指标计算；</w:t>
      </w:r>
    </w:p>
    <w:p>
      <w:pPr>
        <w:spacing w:line="360" w:lineRule="exact"/>
        <w:ind w:left="920" w:leftChars="200" w:hanging="360" w:hangingChars="150"/>
        <w:rPr>
          <w:sz w:val="24"/>
          <w:szCs w:val="24"/>
        </w:rPr>
      </w:pPr>
      <w:r>
        <w:rPr>
          <w:sz w:val="24"/>
          <w:szCs w:val="24"/>
        </w:rPr>
        <w:t>4</w:t>
      </w:r>
      <w:r>
        <w:rPr>
          <w:rFonts w:hint="eastAsia"/>
          <w:sz w:val="24"/>
          <w:szCs w:val="24"/>
        </w:rPr>
        <w:t>、旧区改建项目按本表0.</w:t>
      </w:r>
      <w:r>
        <w:rPr>
          <w:sz w:val="24"/>
          <w:szCs w:val="24"/>
        </w:rPr>
        <w:t>75</w:t>
      </w:r>
      <w:r>
        <w:rPr>
          <w:rFonts w:hint="eastAsia"/>
          <w:sz w:val="24"/>
          <w:szCs w:val="24"/>
        </w:rPr>
        <w:t>倍执行，乡镇项目按本表0.5倍执行；</w:t>
      </w:r>
    </w:p>
    <w:p>
      <w:pPr>
        <w:spacing w:line="360" w:lineRule="exact"/>
        <w:ind w:left="920" w:leftChars="200" w:hanging="360" w:hangingChars="150"/>
        <w:rPr>
          <w:sz w:val="24"/>
          <w:szCs w:val="24"/>
        </w:rPr>
      </w:pPr>
      <w:r>
        <w:rPr>
          <w:rFonts w:hint="eastAsia"/>
          <w:sz w:val="24"/>
          <w:szCs w:val="24"/>
        </w:rPr>
        <w:t>5、超高层商业服务业建筑（整体）配建停车位指标按本表0.9倍执行；其超高层酒店建筑高度大于100米的建筑部分按本表0.5倍执行，且不配置自行车停车位。</w:t>
      </w:r>
    </w:p>
    <w:p>
      <w:pPr>
        <w:spacing w:after="280" w:afterLines="50" w:line="360" w:lineRule="exact"/>
        <w:ind w:left="920" w:leftChars="200" w:hanging="360" w:hangingChars="150"/>
      </w:pPr>
      <w:r>
        <w:rPr>
          <w:sz w:val="24"/>
          <w:szCs w:val="24"/>
        </w:rPr>
        <w:t>6</w:t>
      </w:r>
      <w:r>
        <w:rPr>
          <w:rFonts w:hint="eastAsia"/>
          <w:sz w:val="24"/>
          <w:szCs w:val="24"/>
        </w:rPr>
        <w:t>、配建停车库计算建筑面积，不计入容积率。</w:t>
      </w:r>
    </w:p>
    <w:p>
      <w:pPr>
        <w:pStyle w:val="22"/>
        <w:numPr>
          <w:ilvl w:val="2"/>
          <w:numId w:val="1"/>
        </w:numPr>
        <w:ind w:left="0" w:firstLine="560"/>
      </w:pPr>
      <w:r>
        <w:rPr>
          <w:rFonts w:hint="eastAsia"/>
        </w:rPr>
        <w:t>住宅区规划应按人车分流设置。住宅区地面不宜设置机动车停车位（少量临时造访停车位不计入停车位指标）。</w:t>
      </w:r>
    </w:p>
    <w:p>
      <w:pPr>
        <w:ind w:firstLine="560" w:firstLineChars="200"/>
      </w:pPr>
      <w:r>
        <w:rPr>
          <w:rFonts w:hint="eastAsia"/>
        </w:rPr>
        <w:t>其他建设项目地面停车比例不宜大于项目配置停车位指标的20％。</w:t>
      </w:r>
    </w:p>
    <w:p>
      <w:pPr>
        <w:pStyle w:val="22"/>
        <w:numPr>
          <w:ilvl w:val="2"/>
          <w:numId w:val="1"/>
        </w:numPr>
        <w:ind w:left="0" w:firstLine="560"/>
      </w:pPr>
      <w:r>
        <w:rPr>
          <w:rFonts w:hint="eastAsia"/>
        </w:rPr>
        <w:t>商业与住宅混合开发项目的地下停车场，商业配建的停车位应与住宅配建的停车位分区设置，独立管理和使用（包括设置各自独立的机动车出入口），且商业（商务）配建的停车位不得销售。</w:t>
      </w:r>
    </w:p>
    <w:p>
      <w:pPr>
        <w:pStyle w:val="22"/>
        <w:numPr>
          <w:ilvl w:val="2"/>
          <w:numId w:val="1"/>
        </w:numPr>
        <w:ind w:left="0" w:firstLine="560"/>
      </w:pPr>
      <w:r>
        <w:rPr>
          <w:rFonts w:hint="eastAsia"/>
        </w:rPr>
        <w:t>鼓励用地5公顷以上建设项目设置停车楼或斜立叠式停车场，其停车楼或斜立叠式停车场不纳入建筑密度和容积率计算。</w:t>
      </w:r>
    </w:p>
    <w:p>
      <w:pPr>
        <w:pStyle w:val="22"/>
        <w:numPr>
          <w:ilvl w:val="2"/>
          <w:numId w:val="1"/>
        </w:numPr>
        <w:ind w:left="0" w:firstLine="560"/>
      </w:pPr>
      <w:r>
        <w:rPr>
          <w:rFonts w:hint="eastAsia"/>
        </w:rPr>
        <w:t>配建停车位设置应以单层平面停车方式为主，当受用地条件限制时，可设置机械式立体停车库。</w:t>
      </w:r>
    </w:p>
    <w:p>
      <w:pPr>
        <w:pStyle w:val="22"/>
        <w:numPr>
          <w:ilvl w:val="2"/>
          <w:numId w:val="1"/>
        </w:numPr>
        <w:ind w:left="0" w:firstLine="560"/>
      </w:pPr>
      <w:r>
        <w:rPr>
          <w:rFonts w:hint="eastAsia"/>
        </w:rPr>
        <w:t>改、扩建项目改、扩建部分应按表</w:t>
      </w:r>
      <w:r>
        <w:t>3.3</w:t>
      </w:r>
      <w:r>
        <w:rPr>
          <w:rFonts w:hint="eastAsia"/>
        </w:rPr>
        <w:t>规定配建停车位，原有建筑配建停车位不足的，应同时补足。</w:t>
      </w:r>
    </w:p>
    <w:p>
      <w:pPr>
        <w:pStyle w:val="22"/>
        <w:numPr>
          <w:ilvl w:val="2"/>
          <w:numId w:val="1"/>
        </w:numPr>
        <w:ind w:left="0" w:firstLine="560"/>
      </w:pPr>
      <w:r>
        <w:rPr>
          <w:rFonts w:hint="eastAsia"/>
        </w:rPr>
        <w:t>建设项目配建的停车位应与建筑主体同时设计、同时施工、同时交付使用，交付使用后不得改变其使用性质和用途。</w:t>
      </w:r>
    </w:p>
    <w:p>
      <w:pPr>
        <w:pStyle w:val="22"/>
        <w:numPr>
          <w:ilvl w:val="2"/>
          <w:numId w:val="1"/>
        </w:numPr>
        <w:ind w:left="0" w:firstLine="560"/>
      </w:pPr>
      <w:r>
        <w:rPr>
          <w:rFonts w:hint="eastAsia"/>
        </w:rPr>
        <w:t>商业娱乐设施、医院、学校、交通枢纽等建设项目应在用地范围内根据项目具体情况增配符合道路交通管理要求的装卸货停车位、出租车、旅游巴士或救护车停车位。</w:t>
      </w:r>
    </w:p>
    <w:p>
      <w:pPr>
        <w:pStyle w:val="22"/>
        <w:numPr>
          <w:ilvl w:val="2"/>
          <w:numId w:val="1"/>
        </w:numPr>
        <w:ind w:left="0" w:firstLine="560"/>
      </w:pPr>
      <w:r>
        <w:rPr>
          <w:rFonts w:hint="eastAsia"/>
        </w:rPr>
        <w:t>学校用地宜在学校大门外的地面（学校用地）或校园内地下设置停车场，且机动车出入口不宜与学校大门共用一个出入口。</w:t>
      </w:r>
    </w:p>
    <w:p>
      <w:pPr>
        <w:pStyle w:val="22"/>
        <w:numPr>
          <w:ilvl w:val="2"/>
          <w:numId w:val="1"/>
        </w:numPr>
        <w:ind w:left="0" w:firstLine="560"/>
      </w:pPr>
      <w:r>
        <w:rPr>
          <w:rFonts w:hint="eastAsia"/>
        </w:rPr>
        <w:t>路内停车位设置不应妨碍行车视距（城市和镇区支路设置停车位的路口宜作缩窄处理），并保证车辆通行安全。道路交叉路口、铁路道口、桥梁、陡坡、弯道、隧道以及距离上述地点50米以内路段不得设置路内停车位。距离公共汽车站和急救站30米范围内不得设置停车位。对居民生活及出行影响较大的道路上不宜设置路内停车位。</w:t>
      </w:r>
    </w:p>
    <w:p>
      <w:pPr>
        <w:pStyle w:val="22"/>
        <w:numPr>
          <w:ilvl w:val="2"/>
          <w:numId w:val="1"/>
        </w:numPr>
        <w:ind w:left="0" w:firstLine="560"/>
      </w:pPr>
      <w:r>
        <w:rPr>
          <w:rFonts w:hint="eastAsia"/>
        </w:rPr>
        <w:t>居住小区、大型商业服务业项目，以及大型公交站点必须在城市道路行人主出入口附近设置一个占地面积不少于100平方米的城市公共自行车驿站，并且按政府批准实施运行的城乡公共自行车系统配置不少于50辆公共自行车的车辆和管理设备。</w:t>
      </w:r>
    </w:p>
    <w:p>
      <w:pPr>
        <w:ind w:firstLine="560" w:firstLineChars="200"/>
      </w:pPr>
      <w:r>
        <w:rPr>
          <w:rFonts w:hint="eastAsia"/>
        </w:rPr>
        <w:t>城市公共自行车驿站的布置不应对机动车道公交车行驶和人行道路造成干扰，并保证自行车存取的方便与安全。</w:t>
      </w:r>
    </w:p>
    <w:p>
      <w:pPr>
        <w:pStyle w:val="22"/>
        <w:numPr>
          <w:ilvl w:val="2"/>
          <w:numId w:val="1"/>
        </w:numPr>
        <w:ind w:left="0" w:firstLine="560"/>
      </w:pPr>
      <w:r>
        <w:rPr>
          <w:rFonts w:hint="eastAsia"/>
        </w:rPr>
        <w:t>新建住宅配建停车位应100%预留充电设施建设安装条件，新建的大于2万平方米的商场、宾馆、医院、办公楼等大型公共建筑的配建停车场和社会公共停车场，具有充电设施的停车位应不小于总停车位的10%。鼓励新建汽车4S店和公共停车场配套安装一定数量的充（换）电基础设施。</w:t>
      </w:r>
    </w:p>
    <w:p>
      <w:pPr>
        <w:pStyle w:val="2"/>
        <w:numPr>
          <w:ilvl w:val="0"/>
          <w:numId w:val="1"/>
        </w:numPr>
        <w:ind w:left="781" w:hanging="781" w:hangingChars="217"/>
      </w:pPr>
      <w:bookmarkStart w:id="16" w:name="_Toc523230040"/>
      <w:r>
        <w:rPr>
          <w:rFonts w:hint="eastAsia"/>
        </w:rPr>
        <w:t>建筑退让距离</w:t>
      </w:r>
      <w:bookmarkEnd w:id="16"/>
    </w:p>
    <w:p>
      <w:pPr>
        <w:pStyle w:val="3"/>
        <w:numPr>
          <w:ilvl w:val="1"/>
          <w:numId w:val="1"/>
        </w:numPr>
        <w:ind w:left="941" w:hanging="940" w:hangingChars="294"/>
        <w:rPr>
          <w:lang w:eastAsia="zh-CN"/>
        </w:rPr>
      </w:pPr>
      <w:bookmarkStart w:id="17" w:name="_Toc523230041"/>
      <w:r>
        <w:rPr>
          <w:rFonts w:hint="eastAsia"/>
          <w:lang w:eastAsia="zh-CN"/>
        </w:rPr>
        <w:t>建筑退让用地红线距离</w:t>
      </w:r>
      <w:bookmarkEnd w:id="17"/>
    </w:p>
    <w:p>
      <w:pPr>
        <w:pStyle w:val="22"/>
        <w:numPr>
          <w:ilvl w:val="2"/>
          <w:numId w:val="1"/>
        </w:numPr>
        <w:ind w:left="0" w:firstLine="560"/>
      </w:pPr>
      <w:r>
        <w:rPr>
          <w:rFonts w:hint="eastAsia"/>
        </w:rPr>
        <w:t>建筑退让用地红线最小距离应符合表4</w:t>
      </w:r>
      <w:r>
        <w:t>.1.1</w:t>
      </w:r>
      <w:r>
        <w:rPr>
          <w:rFonts w:hint="eastAsia"/>
        </w:rPr>
        <w:t>的规定。</w:t>
      </w:r>
    </w:p>
    <w:p>
      <w:pPr>
        <w:pStyle w:val="6"/>
        <w:keepNext/>
        <w:rPr>
          <w:sz w:val="24"/>
          <w:szCs w:val="24"/>
        </w:rPr>
      </w:pPr>
      <w:r>
        <w:rPr>
          <w:rFonts w:hint="eastAsia"/>
          <w:sz w:val="24"/>
          <w:szCs w:val="24"/>
        </w:rPr>
        <w:t>表4.1.1</w:t>
      </w:r>
      <w:r>
        <w:rPr>
          <w:sz w:val="24"/>
          <w:szCs w:val="24"/>
        </w:rPr>
        <w:t xml:space="preserve">  </w:t>
      </w:r>
      <w:r>
        <w:rPr>
          <w:rFonts w:hint="eastAsia"/>
          <w:sz w:val="24"/>
          <w:szCs w:val="24"/>
        </w:rPr>
        <w:t xml:space="preserve">建筑退让用地红线最小距离 </w:t>
      </w:r>
    </w:p>
    <w:tbl>
      <w:tblPr>
        <w:tblStyle w:val="1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114" w:type="dxa"/>
            <w:vAlign w:val="center"/>
          </w:tcPr>
          <w:p>
            <w:pPr>
              <w:tabs>
                <w:tab w:val="left" w:pos="6885"/>
              </w:tabs>
              <w:spacing w:line="300" w:lineRule="exact"/>
              <w:jc w:val="center"/>
              <w:rPr>
                <w:rFonts w:hAnsi="宋体"/>
                <w:b/>
                <w:sz w:val="21"/>
                <w:szCs w:val="21"/>
              </w:rPr>
            </w:pPr>
            <w:r>
              <w:rPr>
                <w:rFonts w:hint="eastAsia" w:hAnsi="宋体"/>
                <w:b/>
                <w:sz w:val="21"/>
                <w:szCs w:val="21"/>
              </w:rPr>
              <w:t>建筑高度</w:t>
            </w:r>
          </w:p>
        </w:tc>
        <w:tc>
          <w:tcPr>
            <w:tcW w:w="3115" w:type="dxa"/>
            <w:vAlign w:val="center"/>
          </w:tcPr>
          <w:p>
            <w:pPr>
              <w:tabs>
                <w:tab w:val="left" w:pos="6885"/>
              </w:tabs>
              <w:spacing w:line="300" w:lineRule="exact"/>
              <w:jc w:val="center"/>
              <w:rPr>
                <w:rFonts w:hAnsi="宋体"/>
                <w:b/>
                <w:sz w:val="21"/>
                <w:szCs w:val="21"/>
              </w:rPr>
            </w:pPr>
            <w:r>
              <w:rPr>
                <w:rFonts w:hint="eastAsia" w:hAnsi="宋体"/>
                <w:b/>
                <w:sz w:val="21"/>
                <w:szCs w:val="21"/>
              </w:rPr>
              <w:t>＜24米</w:t>
            </w:r>
          </w:p>
        </w:tc>
        <w:tc>
          <w:tcPr>
            <w:tcW w:w="3115" w:type="dxa"/>
            <w:vAlign w:val="center"/>
          </w:tcPr>
          <w:p>
            <w:pPr>
              <w:tabs>
                <w:tab w:val="left" w:pos="6885"/>
              </w:tabs>
              <w:spacing w:line="300" w:lineRule="exact"/>
              <w:jc w:val="center"/>
              <w:rPr>
                <w:rFonts w:hAnsi="宋体"/>
                <w:b/>
                <w:sz w:val="21"/>
                <w:szCs w:val="21"/>
              </w:rPr>
            </w:pPr>
            <w:r>
              <w:rPr>
                <w:rFonts w:hint="eastAsia" w:hAnsi="宋体"/>
                <w:b/>
                <w:sz w:val="21"/>
                <w:szCs w:val="21"/>
              </w:rPr>
              <w:t>≥</w:t>
            </w:r>
            <w:r>
              <w:rPr>
                <w:rFonts w:hAnsi="宋体"/>
                <w:b/>
                <w:sz w:val="21"/>
                <w:szCs w:val="21"/>
              </w:rPr>
              <w:t>24</w:t>
            </w:r>
            <w:r>
              <w:rPr>
                <w:rFonts w:hint="eastAsia" w:hAnsi="宋体"/>
                <w:b/>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114" w:type="dxa"/>
            <w:vAlign w:val="center"/>
          </w:tcPr>
          <w:p>
            <w:pPr>
              <w:tabs>
                <w:tab w:val="left" w:pos="6885"/>
              </w:tabs>
              <w:spacing w:line="300" w:lineRule="exact"/>
              <w:ind w:left="-57"/>
              <w:jc w:val="center"/>
              <w:rPr>
                <w:rFonts w:hAnsi="宋体"/>
                <w:b/>
                <w:sz w:val="21"/>
                <w:szCs w:val="21"/>
              </w:rPr>
            </w:pPr>
            <w:r>
              <w:rPr>
                <w:rFonts w:hint="eastAsia" w:hAnsi="宋体"/>
                <w:b/>
                <w:sz w:val="21"/>
                <w:szCs w:val="21"/>
              </w:rPr>
              <w:t>建筑正面退让用地红线距离</w:t>
            </w:r>
          </w:p>
        </w:tc>
        <w:tc>
          <w:tcPr>
            <w:tcW w:w="3115" w:type="dxa"/>
            <w:vAlign w:val="center"/>
          </w:tcPr>
          <w:p>
            <w:pPr>
              <w:tabs>
                <w:tab w:val="left" w:pos="6885"/>
              </w:tabs>
              <w:spacing w:line="300" w:lineRule="exact"/>
              <w:ind w:left="-57"/>
              <w:jc w:val="center"/>
              <w:rPr>
                <w:rFonts w:hAnsi="宋体"/>
                <w:sz w:val="21"/>
                <w:szCs w:val="21"/>
              </w:rPr>
            </w:pPr>
            <w:r>
              <w:rPr>
                <w:rFonts w:hint="eastAsia" w:hAnsi="宋体"/>
                <w:sz w:val="21"/>
                <w:szCs w:val="21"/>
              </w:rPr>
              <w:t>5米</w:t>
            </w:r>
          </w:p>
        </w:tc>
        <w:tc>
          <w:tcPr>
            <w:tcW w:w="3115" w:type="dxa"/>
            <w:vAlign w:val="center"/>
          </w:tcPr>
          <w:p>
            <w:pPr>
              <w:tabs>
                <w:tab w:val="left" w:pos="6885"/>
              </w:tabs>
              <w:spacing w:line="300" w:lineRule="exact"/>
              <w:ind w:left="-57"/>
              <w:jc w:val="center"/>
              <w:rPr>
                <w:rFonts w:hAnsi="宋体"/>
                <w:sz w:val="21"/>
                <w:szCs w:val="21"/>
              </w:rPr>
            </w:pPr>
            <w:r>
              <w:rPr>
                <w:rFonts w:hAnsi="宋体"/>
                <w:sz w:val="21"/>
                <w:szCs w:val="21"/>
              </w:rPr>
              <w:t>10</w:t>
            </w:r>
            <w:r>
              <w:rPr>
                <w:rFonts w:hint="eastAsia" w:hAnsi="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114" w:type="dxa"/>
            <w:vAlign w:val="center"/>
          </w:tcPr>
          <w:p>
            <w:pPr>
              <w:tabs>
                <w:tab w:val="left" w:pos="6885"/>
              </w:tabs>
              <w:spacing w:line="300" w:lineRule="exact"/>
              <w:ind w:left="-57"/>
              <w:jc w:val="center"/>
              <w:rPr>
                <w:rFonts w:hAnsi="宋体"/>
                <w:b/>
                <w:sz w:val="21"/>
                <w:szCs w:val="21"/>
              </w:rPr>
            </w:pPr>
            <w:r>
              <w:rPr>
                <w:rFonts w:hint="eastAsia" w:hAnsi="宋体"/>
                <w:b/>
                <w:sz w:val="21"/>
                <w:szCs w:val="21"/>
              </w:rPr>
              <w:t>建筑侧面退让用地红线距离</w:t>
            </w:r>
          </w:p>
        </w:tc>
        <w:tc>
          <w:tcPr>
            <w:tcW w:w="3115" w:type="dxa"/>
            <w:vAlign w:val="center"/>
          </w:tcPr>
          <w:p>
            <w:pPr>
              <w:tabs>
                <w:tab w:val="left" w:pos="6885"/>
              </w:tabs>
              <w:spacing w:line="300" w:lineRule="exact"/>
              <w:ind w:left="-57"/>
              <w:jc w:val="center"/>
              <w:rPr>
                <w:rFonts w:hAnsi="宋体"/>
                <w:sz w:val="21"/>
                <w:szCs w:val="21"/>
              </w:rPr>
            </w:pPr>
            <w:r>
              <w:rPr>
                <w:rFonts w:hAnsi="宋体"/>
                <w:sz w:val="21"/>
                <w:szCs w:val="21"/>
              </w:rPr>
              <w:t>5</w:t>
            </w:r>
            <w:r>
              <w:rPr>
                <w:rFonts w:hint="eastAsia" w:hAnsi="宋体"/>
                <w:sz w:val="21"/>
                <w:szCs w:val="21"/>
              </w:rPr>
              <w:t>米</w:t>
            </w:r>
          </w:p>
        </w:tc>
        <w:tc>
          <w:tcPr>
            <w:tcW w:w="3115" w:type="dxa"/>
            <w:vAlign w:val="center"/>
          </w:tcPr>
          <w:p>
            <w:pPr>
              <w:tabs>
                <w:tab w:val="left" w:pos="6885"/>
              </w:tabs>
              <w:spacing w:line="300" w:lineRule="exact"/>
              <w:ind w:left="-57"/>
              <w:jc w:val="center"/>
              <w:rPr>
                <w:rFonts w:hAnsi="宋体"/>
                <w:sz w:val="21"/>
                <w:szCs w:val="21"/>
              </w:rPr>
            </w:pPr>
            <w:r>
              <w:rPr>
                <w:rFonts w:hAnsi="宋体"/>
                <w:sz w:val="21"/>
                <w:szCs w:val="21"/>
              </w:rPr>
              <w:t>7</w:t>
            </w:r>
            <w:r>
              <w:rPr>
                <w:rFonts w:hint="eastAsia" w:hAnsi="宋体"/>
                <w:sz w:val="21"/>
                <w:szCs w:val="21"/>
              </w:rPr>
              <w:t>米</w:t>
            </w:r>
          </w:p>
        </w:tc>
      </w:tr>
    </w:tbl>
    <w:p>
      <w:pPr>
        <w:spacing w:line="360" w:lineRule="exact"/>
        <w:ind w:left="840" w:hanging="840" w:hangingChars="350"/>
        <w:rPr>
          <w:sz w:val="24"/>
          <w:szCs w:val="24"/>
        </w:rPr>
      </w:pPr>
      <w:r>
        <w:rPr>
          <w:rFonts w:hint="eastAsia"/>
          <w:sz w:val="24"/>
          <w:szCs w:val="24"/>
        </w:rPr>
        <w:t>注：1、高层建筑裙楼（骑楼）建筑高度小于24米的,按建筑高度小于24米退让，当裙楼高度24米以上时，按建筑高度24米以上退让。</w:t>
      </w:r>
    </w:p>
    <w:p>
      <w:pPr>
        <w:spacing w:line="360" w:lineRule="exact"/>
        <w:ind w:left="920" w:leftChars="200" w:hanging="360" w:hangingChars="150"/>
        <w:rPr>
          <w:sz w:val="24"/>
          <w:szCs w:val="24"/>
        </w:rPr>
      </w:pPr>
      <w:r>
        <w:rPr>
          <w:rFonts w:hint="eastAsia"/>
          <w:sz w:val="24"/>
          <w:szCs w:val="24"/>
        </w:rPr>
        <w:t>2、塔楼建筑高度＞120米且≤200米时，按建筑高度每增加10米（含余数不足10米），建筑退让用地红线增加1米；</w:t>
      </w:r>
    </w:p>
    <w:p>
      <w:pPr>
        <w:spacing w:line="360" w:lineRule="exact"/>
        <w:ind w:left="920" w:leftChars="200" w:hanging="360" w:hangingChars="150"/>
        <w:rPr>
          <w:sz w:val="24"/>
          <w:szCs w:val="24"/>
        </w:rPr>
      </w:pPr>
      <w:r>
        <w:rPr>
          <w:rFonts w:hint="eastAsia"/>
          <w:sz w:val="24"/>
          <w:szCs w:val="24"/>
        </w:rPr>
        <w:t>3、高层建筑裙楼不得设置住宅，否则按建筑高度24米以上退让用地红线规定执行。</w:t>
      </w:r>
    </w:p>
    <w:p>
      <w:pPr>
        <w:spacing w:line="360" w:lineRule="exact"/>
        <w:ind w:left="920" w:leftChars="200" w:hanging="360" w:hangingChars="150"/>
        <w:rPr>
          <w:sz w:val="24"/>
          <w:szCs w:val="24"/>
        </w:rPr>
      </w:pPr>
      <w:r>
        <w:rPr>
          <w:rFonts w:hint="eastAsia"/>
          <w:sz w:val="24"/>
          <w:szCs w:val="24"/>
        </w:rPr>
        <w:t>4、受用地条件限制确无法满足时，至少应符合消防安全间距的要求。</w:t>
      </w:r>
    </w:p>
    <w:p>
      <w:pPr>
        <w:spacing w:after="280" w:afterLines="50" w:line="360" w:lineRule="exact"/>
        <w:ind w:left="920" w:leftChars="200" w:hanging="360" w:hangingChars="150"/>
        <w:rPr>
          <w:sz w:val="24"/>
          <w:szCs w:val="24"/>
        </w:rPr>
      </w:pPr>
      <w:r>
        <w:rPr>
          <w:rFonts w:hint="eastAsia"/>
          <w:sz w:val="24"/>
          <w:szCs w:val="24"/>
        </w:rPr>
        <w:t>5、临路建筑按照建筑退让道路红线标准执行。</w:t>
      </w:r>
    </w:p>
    <w:p>
      <w:pPr>
        <w:pStyle w:val="3"/>
        <w:numPr>
          <w:ilvl w:val="1"/>
          <w:numId w:val="1"/>
        </w:numPr>
        <w:ind w:left="941" w:hanging="940" w:hangingChars="294"/>
        <w:rPr>
          <w:lang w:eastAsia="zh-CN"/>
        </w:rPr>
      </w:pPr>
      <w:bookmarkStart w:id="18" w:name="_Toc523230042"/>
      <w:r>
        <w:rPr>
          <w:rFonts w:hint="eastAsia"/>
          <w:lang w:eastAsia="zh-CN"/>
        </w:rPr>
        <w:t>建筑退让道路红线距离</w:t>
      </w:r>
      <w:bookmarkEnd w:id="18"/>
    </w:p>
    <w:p>
      <w:pPr>
        <w:pStyle w:val="22"/>
        <w:numPr>
          <w:ilvl w:val="2"/>
          <w:numId w:val="1"/>
        </w:numPr>
        <w:ind w:left="0" w:firstLine="560"/>
      </w:pPr>
      <w:r>
        <w:rPr>
          <w:rFonts w:hint="eastAsia"/>
        </w:rPr>
        <w:t>建筑退让城市道路红线最小距离应符合表4</w:t>
      </w:r>
      <w:r>
        <w:t>.2.1</w:t>
      </w:r>
      <w:r>
        <w:rPr>
          <w:rFonts w:hint="eastAsia"/>
        </w:rPr>
        <w:t>的规定。</w:t>
      </w:r>
    </w:p>
    <w:p>
      <w:pPr>
        <w:pStyle w:val="6"/>
        <w:keepNext/>
        <w:rPr>
          <w:sz w:val="24"/>
          <w:szCs w:val="24"/>
        </w:rPr>
      </w:pPr>
      <w:r>
        <w:rPr>
          <w:rFonts w:hint="eastAsia"/>
          <w:sz w:val="24"/>
          <w:szCs w:val="24"/>
        </w:rPr>
        <w:t>表4.2.1</w:t>
      </w:r>
      <w:r>
        <w:rPr>
          <w:sz w:val="24"/>
          <w:szCs w:val="24"/>
        </w:rPr>
        <w:t xml:space="preserve">  </w:t>
      </w:r>
      <w:r>
        <w:rPr>
          <w:rFonts w:hint="eastAsia"/>
          <w:sz w:val="24"/>
          <w:szCs w:val="24"/>
        </w:rPr>
        <w:t xml:space="preserve">建筑退让城市道路红线最小距离 </w:t>
      </w:r>
    </w:p>
    <w:tbl>
      <w:tblPr>
        <w:tblStyle w:val="1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330"/>
        <w:gridCol w:w="2108"/>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44" w:type="dxa"/>
            <w:vAlign w:val="center"/>
          </w:tcPr>
          <w:p>
            <w:pPr>
              <w:tabs>
                <w:tab w:val="left" w:pos="6885"/>
              </w:tabs>
              <w:spacing w:line="300" w:lineRule="exact"/>
              <w:jc w:val="center"/>
              <w:rPr>
                <w:rFonts w:hAnsi="宋体"/>
                <w:b/>
                <w:sz w:val="21"/>
                <w:szCs w:val="21"/>
              </w:rPr>
            </w:pPr>
            <w:r>
              <w:rPr>
                <w:rFonts w:hint="eastAsia" w:hAnsi="宋体"/>
                <w:b/>
                <w:sz w:val="21"/>
                <w:szCs w:val="21"/>
              </w:rPr>
              <w:t>道路宽度</w:t>
            </w:r>
          </w:p>
        </w:tc>
        <w:tc>
          <w:tcPr>
            <w:tcW w:w="2330" w:type="dxa"/>
            <w:vAlign w:val="center"/>
          </w:tcPr>
          <w:p>
            <w:pPr>
              <w:tabs>
                <w:tab w:val="left" w:pos="6885"/>
              </w:tabs>
              <w:spacing w:line="300" w:lineRule="exact"/>
              <w:jc w:val="center"/>
              <w:rPr>
                <w:rFonts w:hAnsi="宋体"/>
                <w:b/>
                <w:sz w:val="21"/>
                <w:szCs w:val="21"/>
              </w:rPr>
            </w:pPr>
            <w:r>
              <w:rPr>
                <w:rFonts w:hint="eastAsia" w:hAnsi="宋体"/>
                <w:b/>
                <w:sz w:val="21"/>
                <w:szCs w:val="21"/>
              </w:rPr>
              <w:t>建筑高度小于24米</w:t>
            </w:r>
          </w:p>
          <w:p>
            <w:pPr>
              <w:tabs>
                <w:tab w:val="left" w:pos="6885"/>
              </w:tabs>
              <w:spacing w:line="300" w:lineRule="exact"/>
              <w:jc w:val="center"/>
              <w:rPr>
                <w:rFonts w:hAnsi="宋体"/>
                <w:b/>
                <w:sz w:val="21"/>
                <w:szCs w:val="21"/>
              </w:rPr>
            </w:pPr>
            <w:r>
              <w:rPr>
                <w:rFonts w:hint="eastAsia" w:hAnsi="宋体"/>
                <w:b/>
                <w:sz w:val="21"/>
                <w:szCs w:val="21"/>
              </w:rPr>
              <w:t>退让道路红线</w:t>
            </w:r>
          </w:p>
        </w:tc>
        <w:tc>
          <w:tcPr>
            <w:tcW w:w="2108" w:type="dxa"/>
            <w:vAlign w:val="center"/>
          </w:tcPr>
          <w:p>
            <w:pPr>
              <w:tabs>
                <w:tab w:val="left" w:pos="6885"/>
              </w:tabs>
              <w:spacing w:line="300" w:lineRule="exact"/>
              <w:jc w:val="center"/>
              <w:rPr>
                <w:rFonts w:hAnsi="宋体"/>
                <w:b/>
                <w:sz w:val="21"/>
                <w:szCs w:val="21"/>
              </w:rPr>
            </w:pPr>
            <w:r>
              <w:rPr>
                <w:rFonts w:hint="eastAsia" w:hAnsi="宋体"/>
                <w:b/>
                <w:sz w:val="21"/>
                <w:szCs w:val="21"/>
              </w:rPr>
              <w:t>建筑高度24～80米</w:t>
            </w:r>
          </w:p>
          <w:p>
            <w:pPr>
              <w:tabs>
                <w:tab w:val="left" w:pos="6885"/>
              </w:tabs>
              <w:spacing w:line="300" w:lineRule="exact"/>
              <w:jc w:val="center"/>
              <w:rPr>
                <w:rFonts w:hAnsi="宋体"/>
                <w:b/>
                <w:sz w:val="21"/>
                <w:szCs w:val="21"/>
              </w:rPr>
            </w:pPr>
            <w:r>
              <w:rPr>
                <w:rFonts w:hint="eastAsia" w:hAnsi="宋体"/>
                <w:b/>
                <w:sz w:val="21"/>
                <w:szCs w:val="21"/>
              </w:rPr>
              <w:t>退让道路红线</w:t>
            </w:r>
          </w:p>
        </w:tc>
        <w:tc>
          <w:tcPr>
            <w:tcW w:w="2762" w:type="dxa"/>
            <w:vAlign w:val="center"/>
          </w:tcPr>
          <w:p>
            <w:pPr>
              <w:tabs>
                <w:tab w:val="left" w:pos="6885"/>
              </w:tabs>
              <w:spacing w:line="300" w:lineRule="exact"/>
              <w:jc w:val="center"/>
              <w:rPr>
                <w:rFonts w:hAnsi="宋体"/>
                <w:b/>
                <w:sz w:val="21"/>
                <w:szCs w:val="21"/>
              </w:rPr>
            </w:pPr>
            <w:r>
              <w:rPr>
                <w:rFonts w:hint="eastAsia" w:hAnsi="宋体"/>
                <w:b/>
                <w:sz w:val="21"/>
                <w:szCs w:val="21"/>
              </w:rPr>
              <w:t>建筑高度80～120米</w:t>
            </w:r>
          </w:p>
          <w:p>
            <w:pPr>
              <w:tabs>
                <w:tab w:val="left" w:pos="6885"/>
              </w:tabs>
              <w:spacing w:line="300" w:lineRule="exact"/>
              <w:jc w:val="center"/>
              <w:rPr>
                <w:rFonts w:hAnsi="宋体"/>
                <w:b/>
                <w:sz w:val="21"/>
                <w:szCs w:val="21"/>
              </w:rPr>
            </w:pPr>
            <w:r>
              <w:rPr>
                <w:rFonts w:hint="eastAsia" w:hAnsi="宋体"/>
                <w:b/>
                <w:sz w:val="21"/>
                <w:szCs w:val="21"/>
              </w:rPr>
              <w:t>退让道路红线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44" w:type="dxa"/>
            <w:vAlign w:val="center"/>
          </w:tcPr>
          <w:p>
            <w:pPr>
              <w:tabs>
                <w:tab w:val="left" w:pos="6885"/>
              </w:tabs>
              <w:spacing w:line="300" w:lineRule="exact"/>
              <w:ind w:left="-57"/>
              <w:jc w:val="center"/>
              <w:rPr>
                <w:rFonts w:hAnsi="宋体"/>
                <w:b/>
                <w:sz w:val="21"/>
                <w:szCs w:val="21"/>
              </w:rPr>
            </w:pPr>
            <w:r>
              <w:rPr>
                <w:rFonts w:hint="eastAsia" w:hAnsi="宋体"/>
                <w:b/>
                <w:sz w:val="21"/>
                <w:szCs w:val="21"/>
              </w:rPr>
              <w:t>大于</w:t>
            </w:r>
            <w:r>
              <w:rPr>
                <w:rFonts w:hAnsi="宋体"/>
                <w:b/>
                <w:sz w:val="21"/>
                <w:szCs w:val="21"/>
              </w:rPr>
              <w:t>30</w:t>
            </w:r>
            <w:r>
              <w:rPr>
                <w:rFonts w:hint="eastAsia" w:hAnsi="宋体"/>
                <w:b/>
                <w:sz w:val="21"/>
                <w:szCs w:val="21"/>
              </w:rPr>
              <w:t>米</w:t>
            </w:r>
          </w:p>
        </w:tc>
        <w:tc>
          <w:tcPr>
            <w:tcW w:w="2330" w:type="dxa"/>
            <w:vAlign w:val="center"/>
          </w:tcPr>
          <w:p>
            <w:pPr>
              <w:tabs>
                <w:tab w:val="left" w:pos="6885"/>
              </w:tabs>
              <w:spacing w:line="300" w:lineRule="exact"/>
              <w:ind w:left="-57"/>
              <w:jc w:val="center"/>
              <w:rPr>
                <w:rFonts w:hAnsi="宋体"/>
                <w:sz w:val="21"/>
                <w:szCs w:val="21"/>
              </w:rPr>
            </w:pPr>
            <w:r>
              <w:rPr>
                <w:rFonts w:hAnsi="宋体"/>
                <w:sz w:val="21"/>
                <w:szCs w:val="21"/>
              </w:rPr>
              <w:t>10</w:t>
            </w:r>
            <w:r>
              <w:rPr>
                <w:rFonts w:hint="eastAsia" w:hAnsi="宋体"/>
                <w:sz w:val="21"/>
                <w:szCs w:val="21"/>
              </w:rPr>
              <w:t>米</w:t>
            </w:r>
          </w:p>
        </w:tc>
        <w:tc>
          <w:tcPr>
            <w:tcW w:w="2108" w:type="dxa"/>
            <w:vAlign w:val="center"/>
          </w:tcPr>
          <w:p>
            <w:pPr>
              <w:tabs>
                <w:tab w:val="left" w:pos="6885"/>
              </w:tabs>
              <w:spacing w:line="300" w:lineRule="exact"/>
              <w:ind w:left="-57"/>
              <w:jc w:val="center"/>
              <w:rPr>
                <w:rFonts w:hAnsi="宋体"/>
                <w:sz w:val="21"/>
                <w:szCs w:val="21"/>
              </w:rPr>
            </w:pPr>
            <w:r>
              <w:rPr>
                <w:rFonts w:hAnsi="宋体"/>
                <w:sz w:val="21"/>
                <w:szCs w:val="21"/>
              </w:rPr>
              <w:t>12</w:t>
            </w:r>
            <w:r>
              <w:rPr>
                <w:rFonts w:hint="eastAsia" w:hAnsi="宋体"/>
                <w:sz w:val="21"/>
                <w:szCs w:val="21"/>
              </w:rPr>
              <w:t>米</w:t>
            </w:r>
          </w:p>
        </w:tc>
        <w:tc>
          <w:tcPr>
            <w:tcW w:w="2762" w:type="dxa"/>
            <w:vAlign w:val="center"/>
          </w:tcPr>
          <w:p>
            <w:pPr>
              <w:tabs>
                <w:tab w:val="left" w:pos="6885"/>
              </w:tabs>
              <w:spacing w:line="300" w:lineRule="exact"/>
              <w:ind w:left="-57"/>
              <w:jc w:val="center"/>
              <w:rPr>
                <w:rFonts w:hAnsi="宋体"/>
                <w:sz w:val="21"/>
                <w:szCs w:val="21"/>
              </w:rPr>
            </w:pPr>
            <w:r>
              <w:rPr>
                <w:rFonts w:hAnsi="宋体"/>
                <w:sz w:val="21"/>
                <w:szCs w:val="21"/>
              </w:rPr>
              <w:t>15</w:t>
            </w:r>
            <w:r>
              <w:rPr>
                <w:rFonts w:hint="eastAsia" w:hAnsi="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44" w:type="dxa"/>
            <w:vAlign w:val="center"/>
          </w:tcPr>
          <w:p>
            <w:pPr>
              <w:tabs>
                <w:tab w:val="left" w:pos="6885"/>
              </w:tabs>
              <w:spacing w:line="300" w:lineRule="exact"/>
              <w:ind w:left="-57"/>
              <w:jc w:val="center"/>
              <w:rPr>
                <w:rFonts w:hAnsi="宋体"/>
                <w:b/>
                <w:sz w:val="21"/>
                <w:szCs w:val="21"/>
              </w:rPr>
            </w:pPr>
            <w:r>
              <w:rPr>
                <w:rFonts w:hAnsi="宋体"/>
                <w:b/>
                <w:sz w:val="21"/>
                <w:szCs w:val="21"/>
              </w:rPr>
              <w:t>20</w:t>
            </w:r>
            <w:r>
              <w:rPr>
                <w:rFonts w:hint="eastAsia" w:hAnsi="宋体"/>
                <w:b/>
                <w:sz w:val="21"/>
                <w:szCs w:val="21"/>
              </w:rPr>
              <w:t>～30米</w:t>
            </w:r>
          </w:p>
        </w:tc>
        <w:tc>
          <w:tcPr>
            <w:tcW w:w="2330" w:type="dxa"/>
            <w:vAlign w:val="center"/>
          </w:tcPr>
          <w:p>
            <w:pPr>
              <w:tabs>
                <w:tab w:val="left" w:pos="6885"/>
              </w:tabs>
              <w:spacing w:line="300" w:lineRule="exact"/>
              <w:ind w:left="-57"/>
              <w:jc w:val="center"/>
              <w:rPr>
                <w:rFonts w:hAnsi="宋体"/>
                <w:sz w:val="21"/>
                <w:szCs w:val="21"/>
              </w:rPr>
            </w:pPr>
            <w:r>
              <w:rPr>
                <w:rFonts w:hAnsi="宋体"/>
                <w:sz w:val="21"/>
                <w:szCs w:val="21"/>
              </w:rPr>
              <w:t>7</w:t>
            </w:r>
            <w:r>
              <w:rPr>
                <w:rFonts w:hint="eastAsia" w:hAnsi="宋体"/>
                <w:sz w:val="21"/>
                <w:szCs w:val="21"/>
              </w:rPr>
              <w:t>米</w:t>
            </w:r>
          </w:p>
        </w:tc>
        <w:tc>
          <w:tcPr>
            <w:tcW w:w="2108" w:type="dxa"/>
            <w:vAlign w:val="center"/>
          </w:tcPr>
          <w:p>
            <w:pPr>
              <w:tabs>
                <w:tab w:val="left" w:pos="6885"/>
              </w:tabs>
              <w:spacing w:line="300" w:lineRule="exact"/>
              <w:ind w:left="-57"/>
              <w:jc w:val="center"/>
              <w:rPr>
                <w:rFonts w:hAnsi="宋体"/>
                <w:sz w:val="21"/>
                <w:szCs w:val="21"/>
              </w:rPr>
            </w:pPr>
            <w:r>
              <w:rPr>
                <w:rFonts w:hAnsi="宋体"/>
                <w:sz w:val="21"/>
                <w:szCs w:val="21"/>
              </w:rPr>
              <w:t>9</w:t>
            </w:r>
            <w:r>
              <w:rPr>
                <w:rFonts w:hint="eastAsia" w:hAnsi="宋体"/>
                <w:sz w:val="21"/>
                <w:szCs w:val="21"/>
              </w:rPr>
              <w:t>米</w:t>
            </w:r>
          </w:p>
        </w:tc>
        <w:tc>
          <w:tcPr>
            <w:tcW w:w="2762" w:type="dxa"/>
            <w:vAlign w:val="center"/>
          </w:tcPr>
          <w:p>
            <w:pPr>
              <w:tabs>
                <w:tab w:val="left" w:pos="6885"/>
              </w:tabs>
              <w:spacing w:line="300" w:lineRule="exact"/>
              <w:ind w:left="-57"/>
              <w:jc w:val="center"/>
              <w:rPr>
                <w:rFonts w:hAnsi="宋体"/>
                <w:sz w:val="21"/>
                <w:szCs w:val="21"/>
              </w:rPr>
            </w:pPr>
            <w:r>
              <w:rPr>
                <w:rFonts w:hAnsi="宋体"/>
                <w:sz w:val="21"/>
                <w:szCs w:val="21"/>
              </w:rPr>
              <w:t>12</w:t>
            </w:r>
            <w:r>
              <w:rPr>
                <w:rFonts w:hint="eastAsia" w:hAnsi="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44" w:type="dxa"/>
            <w:vAlign w:val="center"/>
          </w:tcPr>
          <w:p>
            <w:pPr>
              <w:tabs>
                <w:tab w:val="left" w:pos="6885"/>
              </w:tabs>
              <w:spacing w:line="300" w:lineRule="exact"/>
              <w:ind w:left="-57"/>
              <w:jc w:val="center"/>
              <w:rPr>
                <w:rFonts w:hAnsi="宋体"/>
                <w:b/>
                <w:sz w:val="21"/>
                <w:szCs w:val="21"/>
              </w:rPr>
            </w:pPr>
            <w:r>
              <w:rPr>
                <w:rFonts w:hint="eastAsia" w:hAnsi="宋体"/>
                <w:b/>
                <w:sz w:val="21"/>
                <w:szCs w:val="21"/>
              </w:rPr>
              <w:t>小于</w:t>
            </w:r>
            <w:r>
              <w:rPr>
                <w:rFonts w:hAnsi="宋体"/>
                <w:b/>
                <w:sz w:val="21"/>
                <w:szCs w:val="21"/>
              </w:rPr>
              <w:t>20</w:t>
            </w:r>
            <w:r>
              <w:rPr>
                <w:rFonts w:hint="eastAsia" w:hAnsi="宋体"/>
                <w:b/>
                <w:sz w:val="21"/>
                <w:szCs w:val="21"/>
              </w:rPr>
              <w:t>米</w:t>
            </w:r>
          </w:p>
        </w:tc>
        <w:tc>
          <w:tcPr>
            <w:tcW w:w="2330" w:type="dxa"/>
            <w:vAlign w:val="center"/>
          </w:tcPr>
          <w:p>
            <w:pPr>
              <w:tabs>
                <w:tab w:val="left" w:pos="6885"/>
              </w:tabs>
              <w:spacing w:line="300" w:lineRule="exact"/>
              <w:ind w:left="-57"/>
              <w:jc w:val="center"/>
              <w:rPr>
                <w:rFonts w:hAnsi="宋体"/>
                <w:sz w:val="21"/>
                <w:szCs w:val="21"/>
              </w:rPr>
            </w:pPr>
            <w:r>
              <w:rPr>
                <w:rFonts w:hint="eastAsia" w:hAnsi="宋体"/>
                <w:sz w:val="21"/>
                <w:szCs w:val="21"/>
              </w:rPr>
              <w:t>5米</w:t>
            </w:r>
          </w:p>
        </w:tc>
        <w:tc>
          <w:tcPr>
            <w:tcW w:w="2108" w:type="dxa"/>
            <w:vAlign w:val="center"/>
          </w:tcPr>
          <w:p>
            <w:pPr>
              <w:tabs>
                <w:tab w:val="left" w:pos="6885"/>
              </w:tabs>
              <w:spacing w:line="300" w:lineRule="exact"/>
              <w:ind w:left="-57"/>
              <w:jc w:val="center"/>
              <w:rPr>
                <w:rFonts w:hAnsi="宋体"/>
                <w:sz w:val="21"/>
                <w:szCs w:val="21"/>
              </w:rPr>
            </w:pPr>
            <w:r>
              <w:rPr>
                <w:rFonts w:hAnsi="宋体"/>
                <w:sz w:val="21"/>
                <w:szCs w:val="21"/>
              </w:rPr>
              <w:t>7</w:t>
            </w:r>
            <w:r>
              <w:rPr>
                <w:rFonts w:hint="eastAsia" w:hAnsi="宋体"/>
                <w:sz w:val="21"/>
                <w:szCs w:val="21"/>
              </w:rPr>
              <w:t>米</w:t>
            </w:r>
          </w:p>
        </w:tc>
        <w:tc>
          <w:tcPr>
            <w:tcW w:w="2762" w:type="dxa"/>
            <w:vAlign w:val="center"/>
          </w:tcPr>
          <w:p>
            <w:pPr>
              <w:tabs>
                <w:tab w:val="left" w:pos="6885"/>
              </w:tabs>
              <w:spacing w:line="300" w:lineRule="exact"/>
              <w:ind w:left="-57"/>
              <w:jc w:val="center"/>
              <w:rPr>
                <w:rFonts w:hAnsi="宋体"/>
                <w:sz w:val="21"/>
                <w:szCs w:val="21"/>
              </w:rPr>
            </w:pPr>
            <w:r>
              <w:rPr>
                <w:rFonts w:hAnsi="宋体"/>
                <w:sz w:val="21"/>
                <w:szCs w:val="21"/>
              </w:rPr>
              <w:t>9</w:t>
            </w:r>
            <w:r>
              <w:rPr>
                <w:rFonts w:hint="eastAsia" w:hAnsi="宋体"/>
                <w:sz w:val="21"/>
                <w:szCs w:val="21"/>
              </w:rPr>
              <w:t>米</w:t>
            </w:r>
          </w:p>
        </w:tc>
      </w:tr>
    </w:tbl>
    <w:p>
      <w:pPr>
        <w:spacing w:line="360" w:lineRule="exact"/>
        <w:ind w:left="840" w:hanging="840" w:hangingChars="350"/>
        <w:rPr>
          <w:sz w:val="24"/>
          <w:szCs w:val="24"/>
        </w:rPr>
      </w:pPr>
      <w:r>
        <w:rPr>
          <w:rFonts w:hint="eastAsia"/>
          <w:sz w:val="24"/>
          <w:szCs w:val="24"/>
        </w:rPr>
        <w:t>注：1、高层建筑裙楼（骑楼）建筑高度小于24米的,按建筑高度小于24米退让，当裙楼高度24米以上时，按建筑高度24米以上退让。雨篷（含有柱雨篷）、檐口、踏步等可在建筑退让用地出挑，出挑外缘不得大于建筑退让道路最小距离的0.5倍；</w:t>
      </w:r>
    </w:p>
    <w:p>
      <w:pPr>
        <w:spacing w:line="360" w:lineRule="exact"/>
        <w:ind w:left="920" w:leftChars="200" w:hanging="360" w:hangingChars="150"/>
        <w:rPr>
          <w:sz w:val="24"/>
          <w:szCs w:val="24"/>
        </w:rPr>
      </w:pPr>
      <w:r>
        <w:rPr>
          <w:rFonts w:hint="eastAsia"/>
          <w:sz w:val="24"/>
          <w:szCs w:val="24"/>
        </w:rPr>
        <w:t>2、塔楼建筑高度＞120米且≤200米时，按建筑高度每增加10米（含余数不足10米），建筑退让道路增加1米；</w:t>
      </w:r>
    </w:p>
    <w:p>
      <w:pPr>
        <w:spacing w:line="360" w:lineRule="exact"/>
        <w:ind w:left="920" w:leftChars="200" w:hanging="360" w:hangingChars="150"/>
        <w:rPr>
          <w:sz w:val="24"/>
          <w:szCs w:val="24"/>
        </w:rPr>
      </w:pPr>
      <w:r>
        <w:rPr>
          <w:rFonts w:hint="eastAsia"/>
          <w:sz w:val="24"/>
          <w:szCs w:val="24"/>
        </w:rPr>
        <w:t xml:space="preserve">3、城乡建设需要对原规划道路扩宽改造的，新建、改建建筑物退让道路仍按原规划道路宽度的高层建筑裙楼和塔楼退让道路规定执行； </w:t>
      </w:r>
    </w:p>
    <w:p>
      <w:pPr>
        <w:spacing w:line="360" w:lineRule="exact"/>
        <w:ind w:left="920" w:leftChars="200" w:hanging="360" w:hangingChars="150"/>
        <w:rPr>
          <w:sz w:val="24"/>
          <w:szCs w:val="24"/>
        </w:rPr>
      </w:pPr>
      <w:r>
        <w:rPr>
          <w:rFonts w:hint="eastAsia"/>
          <w:sz w:val="24"/>
          <w:szCs w:val="24"/>
        </w:rPr>
        <w:t>4、高层建筑裙楼不得设置住宅，否则按建筑高度24～80米退让道路规定执行。</w:t>
      </w:r>
    </w:p>
    <w:p>
      <w:pPr>
        <w:spacing w:line="360" w:lineRule="exact"/>
        <w:ind w:left="920" w:leftChars="200" w:hanging="360" w:hangingChars="150"/>
        <w:rPr>
          <w:sz w:val="24"/>
          <w:szCs w:val="24"/>
        </w:rPr>
      </w:pPr>
      <w:r>
        <w:rPr>
          <w:rFonts w:hint="eastAsia"/>
          <w:sz w:val="24"/>
          <w:szCs w:val="24"/>
        </w:rPr>
        <w:t>5、在商业街区内的建筑执行商业街区道路退让距离标准。</w:t>
      </w:r>
    </w:p>
    <w:p>
      <w:pPr>
        <w:spacing w:after="280" w:afterLines="50" w:line="360" w:lineRule="exact"/>
        <w:ind w:left="920" w:leftChars="200" w:hanging="360" w:hangingChars="150"/>
        <w:rPr>
          <w:sz w:val="24"/>
          <w:szCs w:val="24"/>
        </w:rPr>
      </w:pPr>
      <w:r>
        <w:rPr>
          <w:rFonts w:hint="eastAsia"/>
          <w:sz w:val="24"/>
          <w:szCs w:val="24"/>
        </w:rPr>
        <w:t>6、建筑退让必须满足地下市政管线和化粪池的铺设要求。</w:t>
      </w:r>
    </w:p>
    <w:p>
      <w:pPr>
        <w:pStyle w:val="22"/>
        <w:numPr>
          <w:ilvl w:val="2"/>
          <w:numId w:val="1"/>
        </w:numPr>
        <w:ind w:left="0" w:firstLine="560"/>
      </w:pPr>
      <w:r>
        <w:rPr>
          <w:rFonts w:hint="eastAsia"/>
        </w:rPr>
        <w:t>商业步行街两侧建筑统一设置骑楼，且建筑高度小于24米的，骑楼可紧邻道路红线设置，但建筑应满足建筑间距和城市景观要求。</w:t>
      </w:r>
    </w:p>
    <w:p>
      <w:pPr>
        <w:pStyle w:val="22"/>
        <w:numPr>
          <w:ilvl w:val="2"/>
          <w:numId w:val="1"/>
        </w:numPr>
        <w:ind w:left="0" w:firstLine="560"/>
      </w:pPr>
      <w:r>
        <w:rPr>
          <w:rFonts w:hint="eastAsia"/>
        </w:rPr>
        <w:t>城市道路交叉口的建筑退让应满足平面交叉口视距三角形界限要求。道路交叉口较宽道路红线大于</w:t>
      </w:r>
      <w:r>
        <w:t>5</w:t>
      </w:r>
      <w:r>
        <w:rPr>
          <w:rFonts w:hint="eastAsia"/>
        </w:rPr>
        <w:t>0米的，转角退让道路红线距离不小于25米；道路交叉口较宽道路红线3</w:t>
      </w:r>
      <w:r>
        <w:t>0</w:t>
      </w:r>
      <w:r>
        <w:rPr>
          <w:rFonts w:hint="eastAsia"/>
        </w:rPr>
        <w:t>～</w:t>
      </w:r>
      <w:r>
        <w:t>5</w:t>
      </w:r>
      <w:r>
        <w:rPr>
          <w:rFonts w:hint="eastAsia"/>
        </w:rPr>
        <w:t>0米的，转角退让道路红线不小于20米；道路交叉口较宽道路红线30米以下的，转角退让道路红线不小于10米。</w:t>
      </w:r>
    </w:p>
    <w:p>
      <w:pPr>
        <w:pStyle w:val="3"/>
        <w:numPr>
          <w:ilvl w:val="1"/>
          <w:numId w:val="1"/>
        </w:numPr>
        <w:ind w:left="941" w:hanging="940" w:hangingChars="294"/>
        <w:rPr>
          <w:lang w:eastAsia="zh-CN"/>
        </w:rPr>
      </w:pPr>
      <w:bookmarkStart w:id="19" w:name="_Toc523230043"/>
      <w:r>
        <w:rPr>
          <w:rFonts w:hint="eastAsia"/>
          <w:lang w:eastAsia="zh-CN"/>
        </w:rPr>
        <w:t>地下建筑物退让红线距离</w:t>
      </w:r>
      <w:bookmarkEnd w:id="19"/>
    </w:p>
    <w:p>
      <w:pPr>
        <w:pStyle w:val="22"/>
        <w:numPr>
          <w:ilvl w:val="2"/>
          <w:numId w:val="1"/>
        </w:numPr>
        <w:ind w:left="0" w:firstLine="560"/>
      </w:pPr>
      <w:r>
        <w:rPr>
          <w:rFonts w:hint="eastAsia"/>
        </w:rPr>
        <w:t>建设项目临道路的地下室、地下管线（除项目用地连接地下管线外）及化粪池等地下建（构）筑物，退让道路红线不小于3米，且地下建（构）筑物退让道路空间应作为城乡公共空间和安全防护空间使用。</w:t>
      </w:r>
    </w:p>
    <w:p>
      <w:pPr>
        <w:pStyle w:val="22"/>
        <w:numPr>
          <w:ilvl w:val="2"/>
          <w:numId w:val="1"/>
        </w:numPr>
        <w:ind w:left="0" w:firstLine="560"/>
      </w:pPr>
      <w:r>
        <w:rPr>
          <w:rFonts w:hint="eastAsia"/>
        </w:rPr>
        <w:t>建设项目的地下建（构）筑物退让用地红线距离不小于3米（相邻地块地下室连通，并统一整体设计的除外）。</w:t>
      </w:r>
    </w:p>
    <w:p>
      <w:pPr>
        <w:pStyle w:val="22"/>
        <w:numPr>
          <w:ilvl w:val="2"/>
          <w:numId w:val="1"/>
        </w:numPr>
        <w:ind w:left="0" w:firstLine="560"/>
      </w:pPr>
      <w:r>
        <w:rPr>
          <w:rFonts w:hint="eastAsia"/>
        </w:rPr>
        <w:t>建设项目出露地面的半地下室与地面建筑同等退让。</w:t>
      </w:r>
    </w:p>
    <w:p>
      <w:pPr>
        <w:pStyle w:val="22"/>
        <w:numPr>
          <w:ilvl w:val="2"/>
          <w:numId w:val="1"/>
        </w:numPr>
        <w:ind w:left="0" w:firstLine="560"/>
      </w:pPr>
      <w:r>
        <w:rPr>
          <w:rFonts w:hint="eastAsia"/>
        </w:rPr>
        <w:t>建设项目用地与公园绿地（包括防护绿地，下同）相邻，当公园绿地权属为建设项目用地的，地下室外边线可紧邻公园绿地的边线设置；公园绿地权属非建设项目用地的，地下室外边线应退让公园绿地边线不小于3米。</w:t>
      </w:r>
    </w:p>
    <w:p>
      <w:pPr>
        <w:pStyle w:val="3"/>
        <w:numPr>
          <w:ilvl w:val="1"/>
          <w:numId w:val="1"/>
        </w:numPr>
        <w:ind w:left="941" w:hanging="940" w:hangingChars="294"/>
        <w:rPr>
          <w:lang w:eastAsia="zh-CN"/>
        </w:rPr>
      </w:pPr>
      <w:bookmarkStart w:id="20" w:name="_Toc523230044"/>
      <w:r>
        <w:rPr>
          <w:rFonts w:hint="eastAsia"/>
          <w:lang w:eastAsia="zh-CN"/>
        </w:rPr>
        <w:t>城市基础设施退让距离</w:t>
      </w:r>
      <w:bookmarkEnd w:id="20"/>
    </w:p>
    <w:p>
      <w:pPr>
        <w:pStyle w:val="22"/>
        <w:numPr>
          <w:ilvl w:val="2"/>
          <w:numId w:val="1"/>
        </w:numPr>
        <w:ind w:left="0" w:firstLine="560"/>
      </w:pPr>
      <w:r>
        <w:rPr>
          <w:rFonts w:hint="eastAsia"/>
        </w:rPr>
        <w:t>沿地面或高架轨道交通两侧新建、改建、扩建的建筑物，其退让轨道外边线外侧距离不得小于30米（轨道配套设施或规划另有规定除外）。沿地下轨道交通两侧新建、改建、扩建的建筑物，其退让隧道外边线外侧距离应符合轨道交通管理的有关规定。</w:t>
      </w:r>
    </w:p>
    <w:p>
      <w:pPr>
        <w:ind w:firstLine="560" w:firstLineChars="200"/>
      </w:pPr>
      <w:r>
        <w:rPr>
          <w:rFonts w:hint="eastAsia"/>
        </w:rPr>
        <w:t>油库、加油站、天然气站退让轨道外边线距离不得小于50米。</w:t>
      </w:r>
    </w:p>
    <w:p>
      <w:pPr>
        <w:pStyle w:val="22"/>
        <w:numPr>
          <w:ilvl w:val="2"/>
          <w:numId w:val="1"/>
        </w:numPr>
        <w:ind w:left="0" w:firstLine="560"/>
      </w:pPr>
      <w:r>
        <w:rPr>
          <w:rFonts w:hint="eastAsia"/>
        </w:rPr>
        <w:t>中心城区建筑退让海、河岸边线按国家有关规范执行。</w:t>
      </w:r>
    </w:p>
    <w:p>
      <w:pPr>
        <w:pStyle w:val="22"/>
        <w:numPr>
          <w:ilvl w:val="2"/>
          <w:numId w:val="1"/>
        </w:numPr>
        <w:ind w:left="0" w:firstLine="560"/>
      </w:pPr>
      <w:r>
        <w:rPr>
          <w:rFonts w:hint="eastAsia"/>
        </w:rPr>
        <w:t>建筑退让普通铁路轨道用地外缘不少于30米，退让高速铁路轨道用地外缘不少于50米，退让高速公路用地外缘不少于3</w:t>
      </w:r>
      <w:r>
        <w:t>0</w:t>
      </w:r>
      <w:r>
        <w:rPr>
          <w:rFonts w:hint="eastAsia"/>
        </w:rPr>
        <w:t>米，退让国道用地外缘不少于</w:t>
      </w:r>
      <w:r>
        <w:t>20</w:t>
      </w:r>
      <w:r>
        <w:rPr>
          <w:rFonts w:hint="eastAsia"/>
        </w:rPr>
        <w:t>米，退让省道用地外缘不少于1</w:t>
      </w:r>
      <w:r>
        <w:t>5</w:t>
      </w:r>
      <w:r>
        <w:rPr>
          <w:rFonts w:hint="eastAsia"/>
        </w:rPr>
        <w:t>米，退让县道用地外缘不少于</w:t>
      </w:r>
      <w:r>
        <w:t>10</w:t>
      </w:r>
      <w:r>
        <w:rPr>
          <w:rFonts w:hint="eastAsia"/>
        </w:rPr>
        <w:t>米，退让乡道用地外缘不少于</w:t>
      </w:r>
      <w:r>
        <w:t>5</w:t>
      </w:r>
      <w:r>
        <w:rPr>
          <w:rFonts w:hint="eastAsia"/>
        </w:rPr>
        <w:t>米。</w:t>
      </w:r>
    </w:p>
    <w:p>
      <w:pPr>
        <w:pStyle w:val="22"/>
        <w:numPr>
          <w:ilvl w:val="2"/>
          <w:numId w:val="1"/>
        </w:numPr>
        <w:ind w:left="0" w:firstLine="560"/>
      </w:pPr>
      <w:r>
        <w:rPr>
          <w:rFonts w:hint="eastAsia"/>
        </w:rPr>
        <w:t>易燃易爆危险品项目距离城乡居住用地不少于1000米，且应满足相关规范的安全防护要求。</w:t>
      </w:r>
    </w:p>
    <w:p>
      <w:pPr>
        <w:pStyle w:val="22"/>
        <w:numPr>
          <w:ilvl w:val="2"/>
          <w:numId w:val="1"/>
        </w:numPr>
        <w:ind w:left="0" w:firstLine="560"/>
      </w:pPr>
      <w:r>
        <w:rPr>
          <w:rFonts w:hint="eastAsia"/>
        </w:rPr>
        <w:t>城市污水处理厂距离居住用地应不少于300米；污水处理厂主要设施加盖防臭处理的，污水处理厂距离居住用地距离可适当减少。但根据《工业企业卫生防护距离标准》中《城市污水处理工程项目建设标准》简表〔2001〕77号，污水厂产生臭气的生产设施的卫生防护距离应不小于100米。</w:t>
      </w:r>
    </w:p>
    <w:p>
      <w:pPr>
        <w:pStyle w:val="2"/>
        <w:numPr>
          <w:ilvl w:val="0"/>
          <w:numId w:val="1"/>
        </w:numPr>
        <w:ind w:left="781" w:hanging="781" w:hangingChars="217"/>
      </w:pPr>
      <w:bookmarkStart w:id="21" w:name="_Toc523230045"/>
      <w:r>
        <w:rPr>
          <w:rFonts w:hint="eastAsia"/>
        </w:rPr>
        <w:t>建筑单体设计控制要求</w:t>
      </w:r>
      <w:bookmarkEnd w:id="21"/>
    </w:p>
    <w:p>
      <w:pPr>
        <w:pStyle w:val="3"/>
        <w:numPr>
          <w:ilvl w:val="1"/>
          <w:numId w:val="1"/>
        </w:numPr>
        <w:ind w:left="941" w:hanging="940" w:hangingChars="294"/>
        <w:rPr>
          <w:lang w:eastAsia="zh-CN"/>
        </w:rPr>
      </w:pPr>
      <w:bookmarkStart w:id="22" w:name="_Toc523230046"/>
      <w:r>
        <w:rPr>
          <w:rFonts w:hint="eastAsia"/>
          <w:lang w:eastAsia="zh-CN"/>
        </w:rPr>
        <w:t>建筑高度控制</w:t>
      </w:r>
      <w:bookmarkEnd w:id="22"/>
    </w:p>
    <w:p>
      <w:pPr>
        <w:pStyle w:val="22"/>
        <w:numPr>
          <w:ilvl w:val="2"/>
          <w:numId w:val="1"/>
        </w:numPr>
        <w:ind w:left="0" w:firstLine="560"/>
      </w:pPr>
      <w:r>
        <w:rPr>
          <w:rFonts w:hint="eastAsia"/>
        </w:rPr>
        <w:t>在城乡净空高度控制区域的建筑物高度应符合有关净空高度控制的规定。</w:t>
      </w:r>
    </w:p>
    <w:p>
      <w:pPr>
        <w:pStyle w:val="22"/>
        <w:numPr>
          <w:ilvl w:val="2"/>
          <w:numId w:val="1"/>
        </w:numPr>
        <w:ind w:left="0" w:firstLine="560"/>
      </w:pPr>
      <w:r>
        <w:rPr>
          <w:rFonts w:hint="eastAsia"/>
        </w:rPr>
        <w:t>严格控制临河岸、海岸建筑物的高度和体量。临河岸、海岸的建筑物高度宜梯次布局，并满足城乡景观规划设计要求。</w:t>
      </w:r>
    </w:p>
    <w:p>
      <w:pPr>
        <w:pStyle w:val="22"/>
        <w:numPr>
          <w:ilvl w:val="2"/>
          <w:numId w:val="1"/>
        </w:numPr>
        <w:ind w:left="0" w:firstLine="560"/>
      </w:pPr>
      <w:r>
        <w:rPr>
          <w:rFonts w:hint="eastAsia"/>
        </w:rPr>
        <w:t>小区高层建筑不宜沿用地周边围合式布局，且建筑高度不应等同。面向城乡开敞空间或主要道路的建筑应营造城乡空间高低错落、层次分明、富有韵律感的天际轮廓线。建筑高度大于24米，建设用地内布局三幢以上建筑的，应布局一幢（组）以上较高或较低的建筑，且较高或较低的建筑与周边或相邻的建筑高度相对高差不宜小于15%。</w:t>
      </w:r>
    </w:p>
    <w:p>
      <w:pPr>
        <w:pStyle w:val="22"/>
        <w:numPr>
          <w:ilvl w:val="2"/>
          <w:numId w:val="1"/>
        </w:numPr>
        <w:ind w:left="0" w:firstLine="560"/>
      </w:pPr>
      <w:r>
        <w:rPr>
          <w:rFonts w:hint="eastAsia"/>
        </w:rPr>
        <w:t>在风景名胜区和重要生态环境地区周围，新建、改建和扩建的建筑应符合相关保护条例，及城乡风貌景观规划控制的要求。</w:t>
      </w:r>
    </w:p>
    <w:p>
      <w:pPr>
        <w:pStyle w:val="22"/>
        <w:numPr>
          <w:ilvl w:val="2"/>
          <w:numId w:val="1"/>
        </w:numPr>
        <w:ind w:left="0" w:firstLine="560"/>
      </w:pPr>
      <w:r>
        <w:rPr>
          <w:rFonts w:hint="eastAsia"/>
        </w:rPr>
        <w:t>文物保护建筑周围应编制详细规划或建筑设计方案，进行视线分析，提出控制高度和保护措施，经城乡规划主管部门批准后执行。</w:t>
      </w:r>
    </w:p>
    <w:p>
      <w:pPr>
        <w:pStyle w:val="3"/>
        <w:numPr>
          <w:ilvl w:val="1"/>
          <w:numId w:val="1"/>
        </w:numPr>
        <w:ind w:left="941" w:hanging="940" w:hangingChars="294"/>
        <w:rPr>
          <w:lang w:eastAsia="zh-CN"/>
        </w:rPr>
      </w:pPr>
      <w:bookmarkStart w:id="23" w:name="_Toc523230047"/>
      <w:r>
        <w:rPr>
          <w:rFonts w:hint="eastAsia"/>
          <w:lang w:eastAsia="zh-CN"/>
        </w:rPr>
        <w:t>建筑物面宽控制</w:t>
      </w:r>
      <w:bookmarkEnd w:id="23"/>
    </w:p>
    <w:p>
      <w:pPr>
        <w:ind w:firstLine="560" w:firstLineChars="200"/>
      </w:pPr>
      <w:r>
        <w:rPr>
          <w:rFonts w:hint="eastAsia"/>
        </w:rPr>
        <w:t>为改善城乡空间景观，增大城乡空间的通透性和纵深感，高层建筑宜设置为独立单元的塔式建筑，控制两幢以上塔式建筑拼接及高层板式建筑面宽。建筑面宽按以下要求控制：</w:t>
      </w:r>
    </w:p>
    <w:p>
      <w:pPr>
        <w:ind w:firstLine="560" w:firstLineChars="200"/>
      </w:pPr>
      <w:r>
        <w:rPr>
          <w:rFonts w:hint="eastAsia"/>
        </w:rPr>
        <w:t>1、建筑高度小于40米的，建筑连续面宽不宜大于80米（建筑裙楼及城乡大型公共建筑高度小于40米的除外）。</w:t>
      </w:r>
    </w:p>
    <w:p>
      <w:pPr>
        <w:ind w:firstLine="560" w:firstLineChars="200"/>
      </w:pPr>
      <w:r>
        <w:rPr>
          <w:rFonts w:hint="eastAsia"/>
        </w:rPr>
        <w:t>2、建筑高度40米以上的，建筑连续面宽不宜大于</w:t>
      </w:r>
      <w:r>
        <w:t>70</w:t>
      </w:r>
      <w:r>
        <w:rPr>
          <w:rFonts w:hint="eastAsia"/>
        </w:rPr>
        <w:t>米。</w:t>
      </w:r>
    </w:p>
    <w:p>
      <w:pPr>
        <w:pStyle w:val="3"/>
        <w:numPr>
          <w:ilvl w:val="1"/>
          <w:numId w:val="1"/>
        </w:numPr>
        <w:ind w:left="941" w:hanging="940" w:hangingChars="294"/>
        <w:rPr>
          <w:lang w:eastAsia="zh-CN"/>
        </w:rPr>
      </w:pPr>
      <w:bookmarkStart w:id="24" w:name="_Toc523230048"/>
      <w:r>
        <w:rPr>
          <w:rFonts w:hint="eastAsia"/>
          <w:lang w:eastAsia="zh-CN"/>
        </w:rPr>
        <w:t>建筑物层高控制</w:t>
      </w:r>
      <w:bookmarkEnd w:id="24"/>
    </w:p>
    <w:p>
      <w:pPr>
        <w:pStyle w:val="22"/>
        <w:numPr>
          <w:ilvl w:val="2"/>
          <w:numId w:val="1"/>
        </w:numPr>
        <w:ind w:left="0" w:firstLine="560"/>
      </w:pPr>
      <w:r>
        <w:rPr>
          <w:rFonts w:hint="eastAsia"/>
        </w:rPr>
        <w:t>住宅建筑标准层层高（层高均指结构层高，下同）不得大于3.</w:t>
      </w:r>
      <w:r>
        <w:t>3</w:t>
      </w:r>
      <w:r>
        <w:rPr>
          <w:rFonts w:hint="eastAsia"/>
        </w:rPr>
        <w:t>米，非标准层层高不得大于4.5米（住宅首层层高可放宽至6米，大堂层高可放宽至9.0米）。</w:t>
      </w:r>
    </w:p>
    <w:p>
      <w:pPr>
        <w:pStyle w:val="22"/>
        <w:numPr>
          <w:ilvl w:val="2"/>
          <w:numId w:val="1"/>
        </w:numPr>
        <w:ind w:left="0" w:firstLine="560"/>
      </w:pPr>
      <w:r>
        <w:rPr>
          <w:rFonts w:hint="eastAsia"/>
        </w:rPr>
        <w:t>商业服务业（包括居住配套服务设施）建筑标准层层高不得大于4.5米，非标准层层高不大于5.0米（首层层高可放宽至6.0米）。</w:t>
      </w:r>
    </w:p>
    <w:p>
      <w:pPr>
        <w:ind w:firstLine="560" w:firstLineChars="200"/>
      </w:pPr>
      <w:r>
        <w:rPr>
          <w:rFonts w:hint="eastAsia"/>
        </w:rPr>
        <w:t>商业服务业建筑的门厅、大堂、中庭及内廊等公共部分，体育馆、展览馆、影剧院、大型会议厅等公共建筑，及计容建筑面积</w:t>
      </w:r>
      <w:r>
        <w:t>1.5</w:t>
      </w:r>
      <w:r>
        <w:rPr>
          <w:rFonts w:hint="eastAsia"/>
        </w:rPr>
        <w:t>万平方米以上集中式商业建筑等确因建筑功能要求加大建筑层高的，建筑层高可不受前款规定限制，按其实际建筑面积计算容积率。</w:t>
      </w:r>
    </w:p>
    <w:p>
      <w:pPr>
        <w:pStyle w:val="22"/>
        <w:numPr>
          <w:ilvl w:val="2"/>
          <w:numId w:val="1"/>
        </w:numPr>
        <w:ind w:left="0" w:firstLine="560"/>
      </w:pPr>
      <w:r>
        <w:rPr>
          <w:rFonts w:hint="eastAsia"/>
        </w:rPr>
        <w:t>建筑层高大于5.3.1条款和</w:t>
      </w:r>
      <w:r>
        <w:t>5</w:t>
      </w:r>
      <w:r>
        <w:rPr>
          <w:rFonts w:hint="eastAsia"/>
        </w:rPr>
        <w:t>.3.2条款规定的，按每</w:t>
      </w:r>
      <w:r>
        <w:t>3</w:t>
      </w:r>
      <w:r>
        <w:rPr>
          <w:rFonts w:hint="eastAsia"/>
        </w:rPr>
        <w:t>米为一层，余数进一的方法折算建筑面积计算容积率和工程造价，但规划许可证仍按一层标注。上述层高按结构完成面计算。</w:t>
      </w:r>
    </w:p>
    <w:p>
      <w:pPr>
        <w:pStyle w:val="2"/>
        <w:numPr>
          <w:ilvl w:val="0"/>
          <w:numId w:val="1"/>
        </w:numPr>
        <w:ind w:left="781" w:hanging="781" w:hangingChars="217"/>
      </w:pPr>
      <w:bookmarkStart w:id="25" w:name="_Toc523230049"/>
      <w:r>
        <w:rPr>
          <w:rFonts w:hint="eastAsia"/>
        </w:rPr>
        <w:t>城市景观环境控制</w:t>
      </w:r>
      <w:bookmarkEnd w:id="25"/>
    </w:p>
    <w:p>
      <w:pPr>
        <w:pStyle w:val="3"/>
        <w:numPr>
          <w:ilvl w:val="1"/>
          <w:numId w:val="1"/>
        </w:numPr>
        <w:ind w:left="941" w:hanging="940" w:hangingChars="294"/>
        <w:rPr>
          <w:lang w:eastAsia="zh-CN"/>
        </w:rPr>
      </w:pPr>
      <w:bookmarkStart w:id="26" w:name="_Toc523230050"/>
      <w:r>
        <w:rPr>
          <w:rFonts w:hint="eastAsia"/>
          <w:lang w:eastAsia="zh-CN"/>
        </w:rPr>
        <w:t>城市建筑景观设计</w:t>
      </w:r>
      <w:bookmarkEnd w:id="26"/>
    </w:p>
    <w:p>
      <w:pPr>
        <w:pStyle w:val="22"/>
        <w:numPr>
          <w:ilvl w:val="2"/>
          <w:numId w:val="1"/>
        </w:numPr>
        <w:ind w:left="0" w:firstLine="560"/>
      </w:pPr>
      <w:r>
        <w:rPr>
          <w:rFonts w:hint="eastAsia"/>
        </w:rPr>
        <w:t>临城市道路广场建筑景观设计</w:t>
      </w:r>
    </w:p>
    <w:p>
      <w:pPr>
        <w:ind w:firstLine="560" w:firstLineChars="200"/>
      </w:pPr>
      <w:r>
        <w:rPr>
          <w:rFonts w:hint="eastAsia"/>
        </w:rPr>
        <w:t>1、临城市道路或广场的建筑立面应为主要立面，其立面和空间造型应与城市街道和广场景观相协调，形成整洁有序的城市界面和富于变化的街道景观。</w:t>
      </w:r>
    </w:p>
    <w:p>
      <w:pPr>
        <w:ind w:firstLine="560" w:firstLineChars="200"/>
      </w:pPr>
      <w:r>
        <w:rPr>
          <w:rFonts w:hint="eastAsia"/>
        </w:rPr>
        <w:t>2、注重建筑立面及屋顶天面的景观效果。屋顶天面除配置必需的楼梯间、设备用房、水池及装饰构架外，不得擅自增加任何建（构）筑物。临道路建筑外立面不得随意悬挂空调机，规划允许设置室外空调主机的，应统一形式和安装位置，统一设置遮挡设施；遮挡设施的材质、色彩和造型应与主体建筑相协调。建筑临城市道路或广场面的窗、阳台、走廊等不得设置显形防盗网，如需设置应设在玻璃窗内。</w:t>
      </w:r>
    </w:p>
    <w:p>
      <w:pPr>
        <w:ind w:firstLine="560" w:firstLineChars="200"/>
      </w:pPr>
      <w:r>
        <w:rPr>
          <w:rFonts w:hint="eastAsia"/>
        </w:rPr>
        <w:t>3、商业街区应维持视觉的连续性，相邻地块商业建筑裙楼应拼接，建筑拼接部分可紧邻项目用地红线。拼接的商业建筑立面风格在规划没有特殊要求的情况下，后建的须与先建的协调。</w:t>
      </w:r>
    </w:p>
    <w:p>
      <w:pPr>
        <w:ind w:firstLine="560" w:firstLineChars="200"/>
      </w:pPr>
      <w:r>
        <w:rPr>
          <w:rFonts w:hint="eastAsia"/>
        </w:rPr>
        <w:t>商业建筑临街道按规划要求设置骑楼和连廊的，骑楼和连廊的高度应统一，并与主体建筑风格相协调。规划设置跨街廊道的，其梁底净高须满足消防车通行要求。</w:t>
      </w:r>
    </w:p>
    <w:p>
      <w:pPr>
        <w:pStyle w:val="22"/>
        <w:numPr>
          <w:ilvl w:val="2"/>
          <w:numId w:val="1"/>
        </w:numPr>
        <w:ind w:left="0" w:firstLine="560"/>
      </w:pPr>
      <w:r>
        <w:rPr>
          <w:rFonts w:hint="eastAsia"/>
        </w:rPr>
        <w:t>配套设施环境控制要求</w:t>
      </w:r>
    </w:p>
    <w:p>
      <w:pPr>
        <w:ind w:firstLine="560" w:firstLineChars="200"/>
      </w:pPr>
      <w:r>
        <w:rPr>
          <w:rFonts w:hint="eastAsia"/>
        </w:rPr>
        <w:t>1、居住配套服务设施和商业建筑应设置或预留商业餐饮专用烟道。严格控制在配套服务设施中设置娱乐等对居住环境有较大影响的项目。</w:t>
      </w:r>
    </w:p>
    <w:p>
      <w:pPr>
        <w:ind w:firstLine="560" w:firstLineChars="200"/>
      </w:pPr>
      <w:r>
        <w:rPr>
          <w:rFonts w:hint="eastAsia"/>
        </w:rPr>
        <w:t>2、建筑首层或裙房作商业用途的，空调外机不得面朝城市道路设置。建筑首层为住宅，需面朝道路设置空调外机的，空调外机搁板应高于人行道路面2.5米以上，并设置隔板遮蔽。</w:t>
      </w:r>
    </w:p>
    <w:p>
      <w:pPr>
        <w:ind w:firstLine="560" w:firstLineChars="200"/>
      </w:pPr>
      <w:r>
        <w:t>3</w:t>
      </w:r>
      <w:r>
        <w:rPr>
          <w:rFonts w:hint="eastAsia"/>
        </w:rPr>
        <w:t>、独立设置的配电房、泵房应按消防、噪音、间距等规定进行布置，其外部造型、色彩应与周围景观环境相协调，进出线路应埋入地下。</w:t>
      </w:r>
    </w:p>
    <w:p>
      <w:pPr>
        <w:pStyle w:val="22"/>
        <w:numPr>
          <w:ilvl w:val="2"/>
          <w:numId w:val="1"/>
        </w:numPr>
        <w:ind w:left="0" w:firstLine="560"/>
      </w:pPr>
      <w:r>
        <w:rPr>
          <w:rFonts w:hint="eastAsia"/>
        </w:rPr>
        <w:t>历史风貌街区建筑景观设计</w:t>
      </w:r>
    </w:p>
    <w:p>
      <w:pPr>
        <w:ind w:firstLine="560" w:firstLineChars="200"/>
      </w:pPr>
      <w:r>
        <w:rPr>
          <w:rFonts w:hint="eastAsia"/>
        </w:rPr>
        <w:t>历史风貌街区宜保持原有的城市肌理、路网格局和街道空间尺度。历史风貌街区的建筑高度、层数、体量、造型、色彩、风格等须与街区的传统格局和历史风貌相协调。历史风貌街区内建筑翻修、改建和新建应满足以下规定：</w:t>
      </w:r>
    </w:p>
    <w:p>
      <w:pPr>
        <w:ind w:firstLine="560" w:firstLineChars="200"/>
      </w:pPr>
      <w:r>
        <w:rPr>
          <w:rFonts w:hint="eastAsia"/>
        </w:rPr>
        <w:t>1、建筑外观应保持传统风貌样式，骑楼翻修、改建应按历史原貌进行复建。按原有历史风貌复建商业建筑时，建筑应符合消防间距要求。</w:t>
      </w:r>
    </w:p>
    <w:p>
      <w:pPr>
        <w:ind w:firstLine="560" w:firstLineChars="200"/>
      </w:pPr>
      <w:r>
        <w:rPr>
          <w:rFonts w:hint="eastAsia"/>
        </w:rPr>
        <w:t>2、风貌街区建筑临道路红线建设时，建筑物的基础、台阶、及阳台等突出建筑外墙面的建筑连接部分均不得超越规划道路红线。</w:t>
      </w:r>
    </w:p>
    <w:p>
      <w:pPr>
        <w:ind w:firstLine="560" w:firstLineChars="200"/>
      </w:pPr>
      <w:r>
        <w:rPr>
          <w:rFonts w:hint="eastAsia"/>
        </w:rPr>
        <w:t>3、重要历史街区周边100～200米范围不宜设置高层建筑，其建筑风格和色彩应与历史建筑相协调。</w:t>
      </w:r>
    </w:p>
    <w:p>
      <w:pPr>
        <w:pStyle w:val="3"/>
        <w:numPr>
          <w:ilvl w:val="1"/>
          <w:numId w:val="1"/>
        </w:numPr>
        <w:ind w:left="941" w:hanging="940" w:hangingChars="294"/>
        <w:rPr>
          <w:lang w:eastAsia="zh-CN"/>
        </w:rPr>
      </w:pPr>
      <w:bookmarkStart w:id="27" w:name="_Toc523230051"/>
      <w:r>
        <w:rPr>
          <w:rFonts w:hint="eastAsia"/>
          <w:lang w:eastAsia="zh-CN"/>
        </w:rPr>
        <w:t>建筑物夜景灯光设计</w:t>
      </w:r>
      <w:bookmarkEnd w:id="27"/>
    </w:p>
    <w:p>
      <w:pPr>
        <w:pStyle w:val="22"/>
        <w:numPr>
          <w:ilvl w:val="2"/>
          <w:numId w:val="1"/>
        </w:numPr>
        <w:ind w:left="0" w:firstLine="560"/>
      </w:pPr>
      <w:r>
        <w:rPr>
          <w:rFonts w:hint="eastAsia"/>
        </w:rPr>
        <w:t>建筑物灯光夜景是在建筑物外立面通过灯光亮度、颜色变化来展示建筑物的特点，以美化城市的夜景。中心城区临30米以上城市道路两侧沿街的高层建筑物，海湾和主要景观河道沿岸的重要建筑物应设置夜景灯光。建筑物夜景灯光应专业设计，以灯光突显建筑特征和建筑的层次感。</w:t>
      </w:r>
    </w:p>
    <w:p>
      <w:pPr>
        <w:pStyle w:val="22"/>
        <w:numPr>
          <w:ilvl w:val="2"/>
          <w:numId w:val="1"/>
        </w:numPr>
        <w:ind w:left="0" w:firstLine="560"/>
      </w:pPr>
      <w:r>
        <w:rPr>
          <w:rFonts w:hint="eastAsia"/>
        </w:rPr>
        <w:t>建筑物夜景灯光在保证建筑物整体亮化效果、主体轮廓线清晰的同时，应层次分明、重点突出，尽可能清晰地展示建筑物重点部位（包括建筑顶部、裙楼、临街山墙等）和装饰细部特征，并根据建筑的使用性质科学合理地选择照明方式和色光。</w:t>
      </w:r>
    </w:p>
    <w:p>
      <w:pPr>
        <w:pStyle w:val="22"/>
        <w:numPr>
          <w:ilvl w:val="2"/>
          <w:numId w:val="1"/>
        </w:numPr>
        <w:ind w:left="0" w:firstLine="560"/>
      </w:pPr>
      <w:r>
        <w:rPr>
          <w:rFonts w:hint="eastAsia"/>
        </w:rPr>
        <w:t>建筑物的夜景灯光应以黄色和白色为主，不同功能建筑物夜景灯光要求如下：</w:t>
      </w:r>
    </w:p>
    <w:p>
      <w:pPr>
        <w:ind w:firstLine="560" w:firstLineChars="200"/>
      </w:pPr>
      <w:r>
        <w:rPr>
          <w:rFonts w:hint="eastAsia"/>
        </w:rPr>
        <w:t>1、住宅、公寓建筑夜景灯光应体现宁静、温馨的氛围。住宅小区应着重高层建筑的顶部和裙楼灯光，及小区大门造型和色彩的灯光设计。低层建筑不作景观照明要求。禁止使用大面积、高强度的照明，避免对住户产生光污染。</w:t>
      </w:r>
    </w:p>
    <w:p>
      <w:pPr>
        <w:ind w:firstLine="560" w:firstLineChars="200"/>
      </w:pPr>
      <w:r>
        <w:rPr>
          <w:rFonts w:hint="eastAsia"/>
        </w:rPr>
        <w:t>住宅小区内的绿地景观照明应与住宅建筑夜景灯光相协调。</w:t>
      </w:r>
    </w:p>
    <w:p>
      <w:pPr>
        <w:ind w:firstLine="560" w:firstLineChars="200"/>
      </w:pPr>
      <w:r>
        <w:rPr>
          <w:rFonts w:hint="eastAsia"/>
        </w:rPr>
        <w:t>2、办公建筑夜景灯光应结合建筑的性质、功能以及风格，突出庄严大方、高雅雄伟的照明效果。行政办公建筑灯光以黄色、白色光为主，避免使用大面积色光，并防止灯光干扰建筑物内的正常办公。</w:t>
      </w:r>
    </w:p>
    <w:p>
      <w:pPr>
        <w:ind w:firstLine="560" w:firstLineChars="200"/>
      </w:pPr>
      <w:r>
        <w:rPr>
          <w:rFonts w:hint="eastAsia"/>
        </w:rPr>
        <w:t>3、商业、娱乐性建筑设置的夜景灯光，应根据其功能和特性，建筑灯光应以照度高，照明形式多样化、色彩丰富，灯具装饰性强为原则。通过灯光绚丽变幻，营造浓烈的商业氛围，塑造繁华、愉悦且充满生机的城乡夜间形象。</w:t>
      </w:r>
    </w:p>
    <w:p>
      <w:pPr>
        <w:ind w:firstLine="560" w:firstLineChars="200"/>
      </w:pPr>
      <w:r>
        <w:rPr>
          <w:rFonts w:hint="eastAsia"/>
        </w:rPr>
        <w:t>4、文化建筑夜景灯光应结合其功能、风格，体现建筑的内涵，通过文化建筑的灯光照明，形成主题性节点，营造浓厚的文化氛围，以烘托建筑的文化底蕴和艺术魅力。</w:t>
      </w:r>
    </w:p>
    <w:p>
      <w:pPr>
        <w:ind w:firstLine="560" w:firstLineChars="200"/>
      </w:pPr>
      <w:r>
        <w:rPr>
          <w:rFonts w:hint="eastAsia"/>
        </w:rPr>
        <w:t>5、体育建筑通常为城乡重要的公共建筑，体量较大，建筑夜景灯光应突出体育建筑夜间体量，夜景灯光以泛光及点缀照明相结合。</w:t>
      </w:r>
    </w:p>
    <w:p>
      <w:pPr>
        <w:ind w:firstLine="560" w:firstLineChars="200"/>
      </w:pPr>
      <w:r>
        <w:rPr>
          <w:rFonts w:hint="eastAsia"/>
        </w:rPr>
        <w:t>6、医疗卫生建筑夜景灯光应突出建筑物顶部天际线，不宜设置泛光照射建筑楼体，以避免眩光及光污染对病人休息造成不利影响。</w:t>
      </w:r>
    </w:p>
    <w:p>
      <w:pPr>
        <w:ind w:firstLine="560" w:firstLineChars="200"/>
      </w:pPr>
      <w:r>
        <w:rPr>
          <w:rFonts w:hint="eastAsia"/>
        </w:rPr>
        <w:t>7、教育科研建筑以功能性照明为依托，构建和谐宁静的教育科研建筑夜间景观形象。位于景观道路两侧或重要视点范围内的教育科研建筑夜景照明应以泛光照明为主，光色应以黄白色为主调，以体现教育科研建筑的自身特性。</w:t>
      </w:r>
    </w:p>
    <w:p>
      <w:pPr>
        <w:ind w:firstLine="560" w:firstLineChars="200"/>
      </w:pPr>
      <w:r>
        <w:rPr>
          <w:rFonts w:hint="eastAsia"/>
        </w:rPr>
        <w:t>8、工业建筑的夜景照明应简洁、明快，重点突出工厂厂牌、标识、出入口建筑立面、厂区围墙等，以达到整体亮化效果。</w:t>
      </w:r>
    </w:p>
    <w:p>
      <w:pPr>
        <w:pStyle w:val="22"/>
        <w:numPr>
          <w:ilvl w:val="2"/>
          <w:numId w:val="1"/>
        </w:numPr>
        <w:ind w:left="0" w:firstLine="560"/>
      </w:pPr>
      <w:r>
        <w:rPr>
          <w:rFonts w:hint="eastAsia"/>
        </w:rPr>
        <w:t>夜景灯光的强度、颜色不得与特殊用途灯光相似；不得影响天文观测、交通及航行安全；不得造成光污染。商业广告屏幕的亮度及噪声等应符合相关规范要求，不得影响居民正常生活及交通安全。</w:t>
      </w:r>
    </w:p>
    <w:p>
      <w:pPr>
        <w:pStyle w:val="22"/>
        <w:numPr>
          <w:ilvl w:val="2"/>
          <w:numId w:val="1"/>
        </w:numPr>
        <w:ind w:left="0" w:firstLine="560"/>
      </w:pPr>
      <w:r>
        <w:rPr>
          <w:rFonts w:hint="eastAsia"/>
        </w:rPr>
        <w:t>建筑的夜景照明不应对建筑物内产生眩光或光干扰，照明设备应隐蔽安装，做到“见光不见灯”；灯具必须外露时，灯具及灯架的尺度、外观造型、用料、颜色均应与整个建筑及周围环境协调一致，并与建筑立面的墙、柱、檐、窗、墙角或屋顶建筑构件相结合。</w:t>
      </w:r>
    </w:p>
    <w:p>
      <w:pPr>
        <w:pStyle w:val="22"/>
        <w:numPr>
          <w:ilvl w:val="2"/>
          <w:numId w:val="1"/>
        </w:numPr>
        <w:ind w:left="0" w:firstLine="560"/>
      </w:pPr>
      <w:r>
        <w:rPr>
          <w:rFonts w:hint="eastAsia"/>
        </w:rPr>
        <w:t>建筑夜景灯光照度、亮度及照明功率密度值应控制在《城乡夜景照明设计规范》（JGJ/T163-2008）规定的范围内，严禁使用强力探照灯、大功率泛光灯、大面积霓虹灯等高亮度、高耗能灯具，并推广采用节能、高效、环保的光源和电控产品。建筑夜景照明的电气设施应安全可靠，便于管理。</w:t>
      </w:r>
    </w:p>
    <w:p>
      <w:pPr>
        <w:pStyle w:val="3"/>
        <w:numPr>
          <w:ilvl w:val="1"/>
          <w:numId w:val="1"/>
        </w:numPr>
        <w:ind w:left="941" w:hanging="940" w:hangingChars="294"/>
        <w:rPr>
          <w:lang w:eastAsia="zh-CN"/>
        </w:rPr>
      </w:pPr>
      <w:bookmarkStart w:id="28" w:name="_Toc523230052"/>
      <w:r>
        <w:rPr>
          <w:rFonts w:hint="eastAsia"/>
          <w:lang w:eastAsia="zh-CN"/>
        </w:rPr>
        <w:t>建筑围墙景观控制</w:t>
      </w:r>
      <w:bookmarkEnd w:id="28"/>
    </w:p>
    <w:p>
      <w:pPr>
        <w:pStyle w:val="22"/>
        <w:numPr>
          <w:ilvl w:val="2"/>
          <w:numId w:val="1"/>
        </w:numPr>
        <w:ind w:left="0" w:firstLine="560"/>
      </w:pPr>
      <w:r>
        <w:rPr>
          <w:rFonts w:hint="eastAsia"/>
        </w:rPr>
        <w:t>体育场馆、影剧院、宾馆、饭店、图书馆、展览馆等对社会公众开放的公共建筑，临城市道路或广场一面不应修建围墙。商业建筑临规划商业街不得设置围墙，商务建筑（办公楼、酒店等）临城市道路不宜设置围墙，可采用绿化、水景等景观方式界定空间。</w:t>
      </w:r>
    </w:p>
    <w:p>
      <w:pPr>
        <w:pStyle w:val="22"/>
        <w:numPr>
          <w:ilvl w:val="2"/>
          <w:numId w:val="1"/>
        </w:numPr>
        <w:ind w:left="0" w:firstLine="560"/>
      </w:pPr>
      <w:r>
        <w:rPr>
          <w:rFonts w:hint="eastAsia"/>
        </w:rPr>
        <w:t>中心城区临城市道路、海岸河岸的建设项目，在其建筑退让道路用地范围内不得修建围墙，临海岸河岸确属安全需要修建围墙的，可设置绿篱“生物围墙”，且绿篱高度不应大于1.0米。</w:t>
      </w:r>
    </w:p>
    <w:p>
      <w:pPr>
        <w:pStyle w:val="3"/>
        <w:numPr>
          <w:ilvl w:val="1"/>
          <w:numId w:val="1"/>
        </w:numPr>
        <w:ind w:left="941" w:hanging="940" w:hangingChars="294"/>
        <w:rPr>
          <w:lang w:eastAsia="zh-CN"/>
        </w:rPr>
      </w:pPr>
      <w:bookmarkStart w:id="29" w:name="_Toc523230053"/>
      <w:r>
        <w:rPr>
          <w:rFonts w:hint="eastAsia"/>
          <w:lang w:eastAsia="zh-CN"/>
        </w:rPr>
        <w:t>城乡雕塑和建筑小品设置要求</w:t>
      </w:r>
      <w:bookmarkEnd w:id="29"/>
    </w:p>
    <w:p>
      <w:pPr>
        <w:pStyle w:val="22"/>
        <w:numPr>
          <w:ilvl w:val="2"/>
          <w:numId w:val="1"/>
        </w:numPr>
        <w:ind w:left="0" w:firstLine="560"/>
      </w:pPr>
      <w:r>
        <w:rPr>
          <w:rFonts w:hint="eastAsia"/>
        </w:rPr>
        <w:t>设置城乡雕塑，应按照专项规划进行实施，雕塑选址及用地范围不应影响城乡交通。</w:t>
      </w:r>
    </w:p>
    <w:p>
      <w:pPr>
        <w:pStyle w:val="22"/>
        <w:numPr>
          <w:ilvl w:val="2"/>
          <w:numId w:val="1"/>
        </w:numPr>
        <w:ind w:left="0" w:firstLine="560"/>
      </w:pPr>
      <w:r>
        <w:rPr>
          <w:rFonts w:hint="eastAsia"/>
        </w:rPr>
        <w:t>雕塑和建筑小品应内容健康、造型优美。雕塑、小品应考虑其设置的自然与人文景观环境、雕塑的尺度、色彩、质感等因素。</w:t>
      </w:r>
    </w:p>
    <w:p>
      <w:pPr>
        <w:pStyle w:val="2"/>
        <w:numPr>
          <w:ilvl w:val="0"/>
          <w:numId w:val="1"/>
        </w:numPr>
        <w:ind w:left="781" w:hanging="781" w:hangingChars="217"/>
      </w:pPr>
      <w:bookmarkStart w:id="30" w:name="_Toc523230054"/>
      <w:r>
        <w:rPr>
          <w:rFonts w:hint="eastAsia"/>
        </w:rPr>
        <w:t>用地竖向设计与地下空间利用</w:t>
      </w:r>
      <w:bookmarkEnd w:id="30"/>
    </w:p>
    <w:p>
      <w:pPr>
        <w:pStyle w:val="3"/>
        <w:numPr>
          <w:ilvl w:val="1"/>
          <w:numId w:val="1"/>
        </w:numPr>
        <w:ind w:left="941" w:hanging="940" w:hangingChars="294"/>
        <w:rPr>
          <w:lang w:eastAsia="zh-CN"/>
        </w:rPr>
      </w:pPr>
      <w:bookmarkStart w:id="31" w:name="_Toc523230055"/>
      <w:r>
        <w:rPr>
          <w:rFonts w:hint="eastAsia"/>
          <w:lang w:eastAsia="zh-CN"/>
        </w:rPr>
        <w:t>建设用地竖向设计一般要求</w:t>
      </w:r>
      <w:bookmarkEnd w:id="31"/>
    </w:p>
    <w:p>
      <w:pPr>
        <w:pStyle w:val="22"/>
        <w:numPr>
          <w:ilvl w:val="2"/>
          <w:numId w:val="1"/>
        </w:numPr>
        <w:ind w:left="0" w:firstLine="560"/>
      </w:pPr>
      <w:r>
        <w:rPr>
          <w:rFonts w:hint="eastAsia"/>
        </w:rPr>
        <w:t>根据建设用地的主要类型，建设用地竖向设计的坡度应符合表7</w:t>
      </w:r>
      <w:r>
        <w:t>.1.1</w:t>
      </w:r>
      <w:r>
        <w:rPr>
          <w:rFonts w:hint="eastAsia"/>
        </w:rPr>
        <w:t>的规定。</w:t>
      </w:r>
    </w:p>
    <w:p>
      <w:pPr>
        <w:pStyle w:val="6"/>
        <w:keepNext/>
        <w:rPr>
          <w:sz w:val="24"/>
          <w:szCs w:val="24"/>
        </w:rPr>
      </w:pPr>
      <w:r>
        <w:rPr>
          <w:rFonts w:hint="eastAsia"/>
          <w:sz w:val="24"/>
          <w:szCs w:val="24"/>
        </w:rPr>
        <w:t>表7</w:t>
      </w:r>
      <w:r>
        <w:rPr>
          <w:sz w:val="24"/>
          <w:szCs w:val="24"/>
        </w:rPr>
        <w:t xml:space="preserve">.1.1 </w:t>
      </w:r>
      <w:r>
        <w:rPr>
          <w:rFonts w:hint="eastAsia"/>
          <w:sz w:val="24"/>
          <w:szCs w:val="24"/>
        </w:rPr>
        <w:t>建设用地设计坡度</w:t>
      </w:r>
    </w:p>
    <w:tbl>
      <w:tblPr>
        <w:tblStyle w:val="1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2276"/>
        <w:gridCol w:w="2276"/>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6" w:type="dxa"/>
            <w:vAlign w:val="center"/>
          </w:tcPr>
          <w:p>
            <w:pPr>
              <w:spacing w:line="300" w:lineRule="exact"/>
              <w:jc w:val="center"/>
              <w:rPr>
                <w:rFonts w:hAnsi="宋体"/>
                <w:b/>
                <w:bCs/>
                <w:sz w:val="21"/>
                <w:szCs w:val="30"/>
              </w:rPr>
            </w:pPr>
            <w:r>
              <w:rPr>
                <w:rFonts w:hint="eastAsia" w:hAnsi="宋体"/>
                <w:b/>
                <w:bCs/>
                <w:sz w:val="21"/>
                <w:szCs w:val="30"/>
              </w:rPr>
              <w:t>建设用地类型</w:t>
            </w:r>
          </w:p>
        </w:tc>
        <w:tc>
          <w:tcPr>
            <w:tcW w:w="2276" w:type="dxa"/>
            <w:vAlign w:val="center"/>
          </w:tcPr>
          <w:p>
            <w:pPr>
              <w:spacing w:line="300" w:lineRule="exact"/>
              <w:jc w:val="center"/>
              <w:rPr>
                <w:rFonts w:hAnsi="宋体"/>
                <w:b/>
                <w:bCs/>
                <w:sz w:val="21"/>
                <w:szCs w:val="30"/>
              </w:rPr>
            </w:pPr>
            <w:r>
              <w:rPr>
                <w:rFonts w:hint="eastAsia" w:hAnsi="宋体"/>
                <w:b/>
                <w:bCs/>
                <w:sz w:val="21"/>
                <w:szCs w:val="30"/>
              </w:rPr>
              <w:t>最小坡度（%）</w:t>
            </w:r>
          </w:p>
        </w:tc>
        <w:tc>
          <w:tcPr>
            <w:tcW w:w="2276" w:type="dxa"/>
            <w:vAlign w:val="center"/>
          </w:tcPr>
          <w:p>
            <w:pPr>
              <w:spacing w:line="300" w:lineRule="exact"/>
              <w:jc w:val="center"/>
              <w:rPr>
                <w:rFonts w:hAnsi="宋体"/>
                <w:b/>
                <w:bCs/>
                <w:sz w:val="21"/>
                <w:szCs w:val="30"/>
              </w:rPr>
            </w:pPr>
            <w:r>
              <w:rPr>
                <w:rFonts w:hint="eastAsia" w:hAnsi="宋体"/>
                <w:b/>
                <w:bCs/>
                <w:sz w:val="21"/>
                <w:szCs w:val="30"/>
              </w:rPr>
              <w:t>最大坡度（%）</w:t>
            </w:r>
          </w:p>
        </w:tc>
        <w:tc>
          <w:tcPr>
            <w:tcW w:w="2276" w:type="dxa"/>
            <w:vAlign w:val="center"/>
          </w:tcPr>
          <w:p>
            <w:pPr>
              <w:spacing w:line="300" w:lineRule="exact"/>
              <w:jc w:val="center"/>
              <w:rPr>
                <w:rFonts w:hAnsi="宋体"/>
                <w:b/>
                <w:bCs/>
                <w:sz w:val="21"/>
                <w:szCs w:val="30"/>
              </w:rPr>
            </w:pPr>
            <w:r>
              <w:rPr>
                <w:rFonts w:hint="eastAsia" w:hAnsi="宋体"/>
                <w:b/>
                <w:bCs/>
                <w:sz w:val="21"/>
                <w:szCs w:val="30"/>
              </w:rPr>
              <w:t>适宜坡度（%）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6" w:type="dxa"/>
            <w:vAlign w:val="center"/>
          </w:tcPr>
          <w:p>
            <w:pPr>
              <w:spacing w:line="300" w:lineRule="exact"/>
              <w:jc w:val="center"/>
              <w:rPr>
                <w:rFonts w:hAnsi="宋体"/>
                <w:b/>
                <w:sz w:val="21"/>
                <w:szCs w:val="30"/>
              </w:rPr>
            </w:pPr>
            <w:r>
              <w:rPr>
                <w:rFonts w:hint="eastAsia" w:hAnsi="宋体"/>
                <w:b/>
                <w:sz w:val="21"/>
                <w:szCs w:val="30"/>
              </w:rPr>
              <w:t>居住用地</w:t>
            </w:r>
          </w:p>
        </w:tc>
        <w:tc>
          <w:tcPr>
            <w:tcW w:w="2276" w:type="dxa"/>
            <w:vAlign w:val="center"/>
          </w:tcPr>
          <w:p>
            <w:pPr>
              <w:spacing w:line="300" w:lineRule="exact"/>
              <w:jc w:val="center"/>
              <w:rPr>
                <w:rFonts w:hAnsi="宋体"/>
                <w:sz w:val="21"/>
                <w:szCs w:val="21"/>
              </w:rPr>
            </w:pPr>
            <w:r>
              <w:rPr>
                <w:rFonts w:hint="eastAsia" w:hAnsi="宋体"/>
                <w:sz w:val="21"/>
                <w:szCs w:val="21"/>
              </w:rPr>
              <w:t>≥0.2</w:t>
            </w:r>
          </w:p>
        </w:tc>
        <w:tc>
          <w:tcPr>
            <w:tcW w:w="2276" w:type="dxa"/>
            <w:vAlign w:val="center"/>
          </w:tcPr>
          <w:p>
            <w:pPr>
              <w:spacing w:line="300" w:lineRule="exact"/>
              <w:jc w:val="center"/>
              <w:rPr>
                <w:rFonts w:hAnsi="宋体"/>
                <w:sz w:val="21"/>
                <w:szCs w:val="21"/>
              </w:rPr>
            </w:pPr>
            <w:r>
              <w:rPr>
                <w:rFonts w:hint="eastAsia" w:hAnsi="宋体"/>
                <w:sz w:val="21"/>
                <w:szCs w:val="21"/>
              </w:rPr>
              <w:t>≤20</w:t>
            </w:r>
          </w:p>
        </w:tc>
        <w:tc>
          <w:tcPr>
            <w:tcW w:w="2276" w:type="dxa"/>
            <w:vAlign w:val="center"/>
          </w:tcPr>
          <w:p>
            <w:pPr>
              <w:spacing w:line="300" w:lineRule="exact"/>
              <w:jc w:val="center"/>
              <w:rPr>
                <w:rFonts w:hAnsi="宋体"/>
                <w:sz w:val="21"/>
                <w:szCs w:val="21"/>
              </w:rPr>
            </w:pPr>
            <w:r>
              <w:rPr>
                <w:rFonts w:hint="eastAsia" w:hAnsi="宋体"/>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6" w:type="dxa"/>
            <w:vAlign w:val="center"/>
          </w:tcPr>
          <w:p>
            <w:pPr>
              <w:spacing w:line="300" w:lineRule="exact"/>
              <w:jc w:val="center"/>
              <w:rPr>
                <w:rFonts w:hAnsi="宋体"/>
                <w:b/>
                <w:sz w:val="21"/>
                <w:szCs w:val="30"/>
              </w:rPr>
            </w:pPr>
            <w:r>
              <w:rPr>
                <w:rFonts w:hint="eastAsia" w:hAnsi="宋体"/>
                <w:b/>
                <w:sz w:val="21"/>
                <w:szCs w:val="30"/>
              </w:rPr>
              <w:t>公共设施用地</w:t>
            </w:r>
          </w:p>
        </w:tc>
        <w:tc>
          <w:tcPr>
            <w:tcW w:w="2276" w:type="dxa"/>
            <w:vAlign w:val="center"/>
          </w:tcPr>
          <w:p>
            <w:pPr>
              <w:spacing w:line="300" w:lineRule="exact"/>
              <w:jc w:val="center"/>
              <w:rPr>
                <w:rFonts w:hAnsi="宋体"/>
                <w:sz w:val="21"/>
                <w:szCs w:val="21"/>
              </w:rPr>
            </w:pPr>
            <w:r>
              <w:rPr>
                <w:rFonts w:hint="eastAsia" w:hAnsi="宋体"/>
                <w:sz w:val="21"/>
                <w:szCs w:val="21"/>
              </w:rPr>
              <w:t>≥0.2</w:t>
            </w:r>
          </w:p>
        </w:tc>
        <w:tc>
          <w:tcPr>
            <w:tcW w:w="2276" w:type="dxa"/>
            <w:vAlign w:val="center"/>
          </w:tcPr>
          <w:p>
            <w:pPr>
              <w:spacing w:line="300" w:lineRule="exact"/>
              <w:jc w:val="center"/>
              <w:rPr>
                <w:rFonts w:hAnsi="宋体"/>
                <w:sz w:val="21"/>
                <w:szCs w:val="21"/>
              </w:rPr>
            </w:pPr>
            <w:r>
              <w:rPr>
                <w:rFonts w:hint="eastAsia" w:hAnsi="宋体"/>
                <w:sz w:val="21"/>
                <w:szCs w:val="21"/>
              </w:rPr>
              <w:t>≤15</w:t>
            </w:r>
          </w:p>
        </w:tc>
        <w:tc>
          <w:tcPr>
            <w:tcW w:w="2276" w:type="dxa"/>
            <w:vAlign w:val="center"/>
          </w:tcPr>
          <w:p>
            <w:pPr>
              <w:spacing w:line="300" w:lineRule="exact"/>
              <w:jc w:val="center"/>
              <w:rPr>
                <w:rFonts w:hAnsi="宋体"/>
                <w:sz w:val="21"/>
                <w:szCs w:val="21"/>
              </w:rPr>
            </w:pPr>
            <w:r>
              <w:rPr>
                <w:rFonts w:hint="eastAsia" w:hAnsi="宋体"/>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6" w:type="dxa"/>
            <w:vAlign w:val="center"/>
          </w:tcPr>
          <w:p>
            <w:pPr>
              <w:spacing w:line="300" w:lineRule="exact"/>
              <w:jc w:val="center"/>
              <w:rPr>
                <w:rFonts w:hAnsi="宋体"/>
                <w:b/>
                <w:sz w:val="21"/>
                <w:szCs w:val="30"/>
              </w:rPr>
            </w:pPr>
            <w:r>
              <w:rPr>
                <w:rFonts w:hint="eastAsia" w:hAnsi="宋体"/>
                <w:b/>
                <w:sz w:val="21"/>
                <w:szCs w:val="30"/>
              </w:rPr>
              <w:t>工业、仓储用地</w:t>
            </w:r>
          </w:p>
        </w:tc>
        <w:tc>
          <w:tcPr>
            <w:tcW w:w="2276" w:type="dxa"/>
            <w:vAlign w:val="center"/>
          </w:tcPr>
          <w:p>
            <w:pPr>
              <w:spacing w:line="300" w:lineRule="exact"/>
              <w:jc w:val="center"/>
              <w:rPr>
                <w:rFonts w:hAnsi="宋体"/>
                <w:sz w:val="21"/>
                <w:szCs w:val="21"/>
              </w:rPr>
            </w:pPr>
            <w:r>
              <w:rPr>
                <w:rFonts w:hint="eastAsia" w:hAnsi="宋体"/>
                <w:sz w:val="21"/>
                <w:szCs w:val="21"/>
              </w:rPr>
              <w:t>≥0.2</w:t>
            </w:r>
          </w:p>
        </w:tc>
        <w:tc>
          <w:tcPr>
            <w:tcW w:w="2276" w:type="dxa"/>
            <w:vAlign w:val="center"/>
          </w:tcPr>
          <w:p>
            <w:pPr>
              <w:spacing w:line="300" w:lineRule="exact"/>
              <w:jc w:val="center"/>
              <w:rPr>
                <w:rFonts w:hAnsi="宋体"/>
                <w:sz w:val="21"/>
                <w:szCs w:val="21"/>
              </w:rPr>
            </w:pPr>
            <w:r>
              <w:rPr>
                <w:rFonts w:hint="eastAsia" w:hAnsi="宋体"/>
                <w:sz w:val="21"/>
                <w:szCs w:val="21"/>
              </w:rPr>
              <w:t>≤10</w:t>
            </w:r>
          </w:p>
        </w:tc>
        <w:tc>
          <w:tcPr>
            <w:tcW w:w="2276" w:type="dxa"/>
            <w:vAlign w:val="center"/>
          </w:tcPr>
          <w:p>
            <w:pPr>
              <w:spacing w:line="300" w:lineRule="exact"/>
              <w:jc w:val="center"/>
              <w:rPr>
                <w:rFonts w:hAnsi="宋体"/>
                <w:sz w:val="21"/>
                <w:szCs w:val="21"/>
              </w:rPr>
            </w:pPr>
            <w:r>
              <w:rPr>
                <w:rFonts w:hint="eastAsia" w:hAnsi="宋体"/>
                <w:sz w:val="21"/>
                <w:szCs w:val="21"/>
              </w:rPr>
              <w:t>1～5</w:t>
            </w:r>
          </w:p>
        </w:tc>
      </w:tr>
    </w:tbl>
    <w:p>
      <w:pPr>
        <w:pStyle w:val="22"/>
        <w:ind w:firstLine="0" w:firstLineChars="0"/>
      </w:pPr>
    </w:p>
    <w:p>
      <w:pPr>
        <w:pStyle w:val="22"/>
        <w:numPr>
          <w:ilvl w:val="2"/>
          <w:numId w:val="1"/>
        </w:numPr>
        <w:ind w:left="0" w:firstLine="560"/>
      </w:pPr>
      <w:r>
        <w:rPr>
          <w:rFonts w:hint="eastAsia"/>
        </w:rPr>
        <w:t>沿城市道路相邻的建设用地竖向应统一规划设计，人行道以及建筑退让道路用地的标高应自然顺接。</w:t>
      </w:r>
    </w:p>
    <w:p>
      <w:pPr>
        <w:pStyle w:val="22"/>
        <w:numPr>
          <w:ilvl w:val="2"/>
          <w:numId w:val="1"/>
        </w:numPr>
        <w:ind w:left="0" w:firstLine="560"/>
      </w:pPr>
      <w:r>
        <w:rPr>
          <w:rFonts w:hint="eastAsia"/>
        </w:rPr>
        <w:t>临城市道路一侧设出入口的建筑，首层室内地坪设计标高与同侧临道路室外自然地坪设计标高的高差应控制在0.15～0.3米之间，公共建筑或地形变化较大的用地可适当放宽。</w:t>
      </w:r>
    </w:p>
    <w:p>
      <w:pPr>
        <w:pStyle w:val="3"/>
        <w:numPr>
          <w:ilvl w:val="1"/>
          <w:numId w:val="1"/>
        </w:numPr>
        <w:ind w:left="941" w:hanging="940" w:hangingChars="294"/>
        <w:rPr>
          <w:lang w:eastAsia="zh-CN"/>
        </w:rPr>
      </w:pPr>
      <w:bookmarkStart w:id="32" w:name="_Toc523230056"/>
      <w:r>
        <w:rPr>
          <w:rFonts w:hint="eastAsia"/>
          <w:lang w:eastAsia="zh-CN"/>
        </w:rPr>
        <w:t>建设用地室外自然地坪的设计要求</w:t>
      </w:r>
      <w:bookmarkEnd w:id="32"/>
    </w:p>
    <w:p>
      <w:pPr>
        <w:pStyle w:val="22"/>
        <w:numPr>
          <w:ilvl w:val="2"/>
          <w:numId w:val="1"/>
        </w:numPr>
        <w:ind w:left="0" w:firstLine="560"/>
      </w:pPr>
      <w:r>
        <w:rPr>
          <w:rFonts w:hint="eastAsia"/>
        </w:rPr>
        <w:t>当建设用地的自然坡度小于5％时，宜规划为平坡式；当用地自然坡度大于8％时，宜规划为台阶式；当用地自然坡度为5％～8％时，宜结合地形适当进行工程处理，混合式布局。</w:t>
      </w:r>
    </w:p>
    <w:p>
      <w:pPr>
        <w:pStyle w:val="22"/>
        <w:numPr>
          <w:ilvl w:val="2"/>
          <w:numId w:val="1"/>
        </w:numPr>
        <w:ind w:left="0" w:firstLine="560"/>
      </w:pPr>
      <w:r>
        <w:rPr>
          <w:rFonts w:hint="eastAsia"/>
        </w:rPr>
        <w:t>台地的划分应与规划布局和总平面布置相协调，应满足使用性质相同的用地或功能联系密切的建(构)筑物布置在同一台地或相邻台地的布局要求；台地的长边应平行于等高线布置。</w:t>
      </w:r>
    </w:p>
    <w:p>
      <w:pPr>
        <w:pStyle w:val="22"/>
        <w:numPr>
          <w:ilvl w:val="2"/>
          <w:numId w:val="1"/>
        </w:numPr>
        <w:ind w:left="0" w:firstLine="560"/>
      </w:pPr>
      <w:r>
        <w:rPr>
          <w:rFonts w:hint="eastAsia"/>
        </w:rPr>
        <w:t xml:space="preserve">地形复杂的室外自然地坪，其挡土墙、护坡、梯道等室外设施的设置形式和尺度应有韵律感；室外自然地坪作分台处理时，挡土墙、护坡的尺度和线型应有利于环境协调；有条件时宜少采用挡土墙。 </w:t>
      </w:r>
    </w:p>
    <w:p>
      <w:pPr>
        <w:pStyle w:val="22"/>
        <w:numPr>
          <w:ilvl w:val="2"/>
          <w:numId w:val="1"/>
        </w:numPr>
        <w:ind w:left="0" w:firstLine="560"/>
      </w:pPr>
      <w:r>
        <w:rPr>
          <w:rFonts w:hint="eastAsia"/>
        </w:rPr>
        <w:t>用于城乡公共活动的建筑室外空间应将挡土墙、护坡、踏步和梯道等室外设施与建筑作为一个有机统一的整体进行设计。</w:t>
      </w:r>
    </w:p>
    <w:p>
      <w:pPr>
        <w:pStyle w:val="22"/>
        <w:numPr>
          <w:ilvl w:val="2"/>
          <w:numId w:val="1"/>
        </w:numPr>
        <w:ind w:left="0" w:firstLine="560"/>
      </w:pPr>
      <w:r>
        <w:rPr>
          <w:rFonts w:hint="eastAsia"/>
        </w:rPr>
        <w:t>住宅建筑室外自然地坪竖向分台设计宜采用小台地的形式。台阶之间应用护坡或挡土墙连接，相邻台地间高差大于1.5米时，应在挡土墙或坡比值大于0.5的护坡顶面加设安全防护设施。</w:t>
      </w:r>
    </w:p>
    <w:p>
      <w:pPr>
        <w:pStyle w:val="22"/>
        <w:numPr>
          <w:ilvl w:val="2"/>
          <w:numId w:val="1"/>
        </w:numPr>
        <w:ind w:left="0" w:firstLine="560"/>
      </w:pPr>
      <w:r>
        <w:rPr>
          <w:rFonts w:hint="eastAsia"/>
        </w:rPr>
        <w:t>挡土墙、护坡与建筑的最小间距必须符合下列规定：</w:t>
      </w:r>
    </w:p>
    <w:p>
      <w:pPr>
        <w:ind w:firstLine="560" w:firstLineChars="200"/>
      </w:pPr>
      <w:r>
        <w:rPr>
          <w:rFonts w:hint="eastAsia"/>
        </w:rPr>
        <w:t>1、高度大于2米小于6米的挡土墙与护坡，其上缘与建筑之间的水平距离应不小于4米，其下缘与住宅间的水平距离应不小于3米；</w:t>
      </w:r>
    </w:p>
    <w:p>
      <w:pPr>
        <w:ind w:firstLine="560" w:firstLineChars="200"/>
      </w:pPr>
      <w:r>
        <w:rPr>
          <w:rFonts w:hint="eastAsia"/>
        </w:rPr>
        <w:t>2、高度大于等于6米的挡土墙与护坡，其下缘与建筑之间的水平距离应不小于6米，且必须满足地质灾害评估要求；</w:t>
      </w:r>
    </w:p>
    <w:p>
      <w:pPr>
        <w:ind w:firstLine="560" w:firstLineChars="200"/>
      </w:pPr>
      <w:r>
        <w:rPr>
          <w:rFonts w:hint="eastAsia"/>
        </w:rPr>
        <w:t>3、挡土墙、护坡与住宅建筑的间距必须同时满足住宅日照、通风、消防及安全要求。</w:t>
      </w:r>
    </w:p>
    <w:p>
      <w:pPr>
        <w:pStyle w:val="22"/>
        <w:numPr>
          <w:ilvl w:val="2"/>
          <w:numId w:val="1"/>
        </w:numPr>
        <w:ind w:left="0" w:firstLine="560"/>
      </w:pPr>
      <w:r>
        <w:rPr>
          <w:rFonts w:hint="eastAsia"/>
        </w:rPr>
        <w:t>台地高度、宽度和长度应结合地形和使用要求综合确定，台地高度宜为1.5～3.0米。位于城乡公共活动区内高于1.5米的挡土墙以及位于生活、生产区内高于2米的挡土墙宜作艺术处理或以绿化遮蔽。</w:t>
      </w:r>
    </w:p>
    <w:p>
      <w:pPr>
        <w:pStyle w:val="22"/>
        <w:numPr>
          <w:ilvl w:val="2"/>
          <w:numId w:val="1"/>
        </w:numPr>
        <w:ind w:left="0" w:firstLine="560"/>
      </w:pPr>
      <w:r>
        <w:rPr>
          <w:rFonts w:hint="eastAsia"/>
        </w:rPr>
        <w:t>居住用地主要道路纵坡宜平缓。小区道路纵坡宜小于4%，受条件限制时不大于6%；当机动车道兼作无障碍通道或与非机动车混行时，道路纵坡不应大于2.5%（最大坡长应小于50米）。小区及其它建设用地道路与城市道路进行衔接时，其变坡点应设在建筑退让道路以外的建设用地范围内。</w:t>
      </w:r>
    </w:p>
    <w:p>
      <w:pPr>
        <w:pStyle w:val="22"/>
        <w:numPr>
          <w:ilvl w:val="2"/>
          <w:numId w:val="1"/>
        </w:numPr>
        <w:ind w:left="0" w:firstLine="560"/>
      </w:pPr>
      <w:r>
        <w:rPr>
          <w:rFonts w:hint="eastAsia"/>
        </w:rPr>
        <w:t>人行道横坡设置应坡向周边绿带、树池或其他凹陷绿地，且横坡宜为1.0～1.5%。树穴缘石标高应比人行道铺装面低2厘米，树穴缘石周边1米范围铺装应坡向树穴。</w:t>
      </w:r>
    </w:p>
    <w:p>
      <w:pPr>
        <w:pStyle w:val="3"/>
        <w:numPr>
          <w:ilvl w:val="1"/>
          <w:numId w:val="1"/>
        </w:numPr>
        <w:ind w:left="941" w:hanging="940" w:hangingChars="294"/>
        <w:rPr>
          <w:lang w:eastAsia="zh-CN"/>
        </w:rPr>
      </w:pPr>
      <w:bookmarkStart w:id="33" w:name="_Toc523230057"/>
      <w:r>
        <w:rPr>
          <w:rFonts w:hint="eastAsia"/>
          <w:lang w:eastAsia="zh-CN"/>
        </w:rPr>
        <w:t>地下空间利用一般要求</w:t>
      </w:r>
      <w:bookmarkEnd w:id="33"/>
    </w:p>
    <w:p>
      <w:pPr>
        <w:ind w:firstLine="560" w:firstLineChars="200"/>
      </w:pPr>
      <w:r>
        <w:rPr>
          <w:rFonts w:hint="eastAsia"/>
        </w:rPr>
        <w:t>地下空间指地表以下或地层内部。开发利用地下空间是城市空间的发展向地表下延伸，将建筑物和构筑物全部或部分建于地表以下。</w:t>
      </w:r>
    </w:p>
    <w:p>
      <w:pPr>
        <w:pStyle w:val="22"/>
        <w:numPr>
          <w:ilvl w:val="2"/>
          <w:numId w:val="1"/>
        </w:numPr>
        <w:ind w:left="0" w:firstLine="560"/>
      </w:pPr>
      <w:r>
        <w:rPr>
          <w:rFonts w:hint="eastAsia"/>
        </w:rPr>
        <w:t>城市地下空间利用应与地上建筑及城乡空间相结合，保证功能与空间的连续性、已建设施的安全性以及新旧设施的兼容性。科学地协调地上及地下空间的承载、震动、污染及噪音等问题，避免对既有设施造成损害，预留与未来设施连接的空间，符合人防、消防及防灾规划、规范要求。</w:t>
      </w:r>
    </w:p>
    <w:p>
      <w:pPr>
        <w:pStyle w:val="22"/>
        <w:numPr>
          <w:ilvl w:val="2"/>
          <w:numId w:val="1"/>
        </w:numPr>
        <w:ind w:left="0" w:firstLine="560"/>
      </w:pPr>
      <w:r>
        <w:rPr>
          <w:rFonts w:hint="eastAsia"/>
        </w:rPr>
        <w:t>城市中心区、人员密集区和主要商业区是人民防空的重要区域，建设地下工程设施必须兼顾人民防空防护要求，要充分考虑防火、防震、防倒塌等因素，合理确定防火分区、防爆单元，增强工程抗力结构，确保工程设施安全使用，提高城乡整体防护能力。</w:t>
      </w:r>
    </w:p>
    <w:p>
      <w:pPr>
        <w:pStyle w:val="22"/>
        <w:numPr>
          <w:ilvl w:val="2"/>
          <w:numId w:val="1"/>
        </w:numPr>
        <w:ind w:left="0" w:firstLine="560"/>
      </w:pPr>
      <w:r>
        <w:rPr>
          <w:rFonts w:hint="eastAsia"/>
        </w:rPr>
        <w:t>城市地下空间利用应遵循分层分区、综合利用、公共优先、分期建设的原则。城市地下空间利用应考虑对空间资源的保护，在浅层空间得到充分利用的基础上再向深层空间发展。</w:t>
      </w:r>
    </w:p>
    <w:p>
      <w:pPr>
        <w:pStyle w:val="22"/>
        <w:numPr>
          <w:ilvl w:val="2"/>
          <w:numId w:val="1"/>
        </w:numPr>
        <w:ind w:left="0" w:firstLine="560"/>
      </w:pPr>
      <w:r>
        <w:rPr>
          <w:rFonts w:hint="eastAsia"/>
        </w:rPr>
        <w:t>城市中心区的地下空间应逐步将单建式地下建筑（如地下商业街、地铁车站、地下过街通道等）连成整体，高层建筑的地下室应与街道或广场的地下空间同步开发，使之连成一片。</w:t>
      </w:r>
    </w:p>
    <w:p>
      <w:pPr>
        <w:pStyle w:val="22"/>
        <w:numPr>
          <w:ilvl w:val="2"/>
          <w:numId w:val="1"/>
        </w:numPr>
        <w:ind w:left="0" w:firstLine="560"/>
      </w:pPr>
      <w:r>
        <w:rPr>
          <w:rFonts w:hint="eastAsia"/>
        </w:rPr>
        <w:t>人员活动频繁的地下空间，应符合空间使用的安全、便利、舒适及健康等方面的要求，配置相应的治安、环卫、安全、通信及服务等设施，设置符合人的行为习惯的引导标志，以及供残疾人专用的电梯或斜坡道。</w:t>
      </w:r>
    </w:p>
    <w:p>
      <w:pPr>
        <w:pStyle w:val="22"/>
        <w:numPr>
          <w:ilvl w:val="2"/>
          <w:numId w:val="1"/>
        </w:numPr>
        <w:ind w:left="0" w:firstLine="560"/>
      </w:pPr>
      <w:r>
        <w:rPr>
          <w:rFonts w:hint="eastAsia"/>
        </w:rPr>
        <w:t>地下设施出入口的数量及其位置必须符合安全和防灾的规范要求，地下设施露出地面的建筑或构筑物应与城市地面环境相协调。</w:t>
      </w:r>
    </w:p>
    <w:p>
      <w:pPr>
        <w:pStyle w:val="3"/>
        <w:numPr>
          <w:ilvl w:val="1"/>
          <w:numId w:val="1"/>
        </w:numPr>
        <w:ind w:left="941" w:hanging="940" w:hangingChars="294"/>
        <w:rPr>
          <w:lang w:eastAsia="zh-CN"/>
        </w:rPr>
      </w:pPr>
      <w:bookmarkStart w:id="34" w:name="_Toc523230058"/>
      <w:r>
        <w:rPr>
          <w:rFonts w:hint="eastAsia"/>
          <w:lang w:eastAsia="zh-CN"/>
        </w:rPr>
        <w:t>行人过街通道</w:t>
      </w:r>
      <w:bookmarkEnd w:id="34"/>
    </w:p>
    <w:p>
      <w:pPr>
        <w:pStyle w:val="22"/>
        <w:numPr>
          <w:ilvl w:val="2"/>
          <w:numId w:val="1"/>
        </w:numPr>
        <w:ind w:left="0" w:firstLine="560"/>
      </w:pPr>
      <w:r>
        <w:rPr>
          <w:rFonts w:hint="eastAsia"/>
        </w:rPr>
        <w:t>行人过街设施的位置、数量应根据周边土地开发强度、行人数量综合确定。城市生活道路应每隔150～300米设置行人过街通道，且地下行人过街通道应与附近的轨道交通站点无缝连接。纳入城市交通系统的人行地道宜采用简明形式，避免造成行人滞留。</w:t>
      </w:r>
    </w:p>
    <w:p>
      <w:pPr>
        <w:pStyle w:val="22"/>
        <w:numPr>
          <w:ilvl w:val="2"/>
          <w:numId w:val="1"/>
        </w:numPr>
        <w:ind w:left="0" w:firstLine="560"/>
      </w:pPr>
      <w:r>
        <w:rPr>
          <w:rFonts w:hint="eastAsia"/>
        </w:rPr>
        <w:t>城市商业中心区主要商业建筑和交通节点之间宜建立多层次的步行系统，包括地下步行通道、过街天桥、空中连廊等，形成全天候步行区域。</w:t>
      </w:r>
    </w:p>
    <w:p>
      <w:pPr>
        <w:pStyle w:val="22"/>
        <w:numPr>
          <w:ilvl w:val="2"/>
          <w:numId w:val="1"/>
        </w:numPr>
        <w:ind w:left="0" w:firstLine="560"/>
      </w:pPr>
      <w:r>
        <w:rPr>
          <w:rFonts w:hint="eastAsia"/>
        </w:rPr>
        <w:t>相邻地块之间因功能需求或公共交通需求，在不影响城市景观且经专题论证的前提下，可设置跨越城市道路的地上廊道。地上廊道宽度、高度及距城市道路路面净空高度应结合城市空间形态合理确定，且地上廊道距室外地面的净空高度不宜小于5米。</w:t>
      </w:r>
    </w:p>
    <w:p>
      <w:pPr>
        <w:pStyle w:val="3"/>
        <w:numPr>
          <w:ilvl w:val="1"/>
          <w:numId w:val="1"/>
        </w:numPr>
        <w:ind w:left="941" w:hanging="940" w:hangingChars="294"/>
        <w:rPr>
          <w:lang w:eastAsia="zh-CN"/>
        </w:rPr>
      </w:pPr>
      <w:bookmarkStart w:id="35" w:name="_Toc523230059"/>
      <w:r>
        <w:rPr>
          <w:rFonts w:hint="eastAsia"/>
          <w:lang w:eastAsia="zh-CN"/>
        </w:rPr>
        <w:t>地下街</w:t>
      </w:r>
      <w:bookmarkEnd w:id="35"/>
    </w:p>
    <w:p>
      <w:pPr>
        <w:ind w:firstLine="560" w:firstLineChars="200"/>
      </w:pPr>
      <w:r>
        <w:rPr>
          <w:rFonts w:hint="eastAsia"/>
        </w:rPr>
        <w:t>地下街为修建在客流集散量较大的大型公共设施或交通设施的地下，由商铺，人行通道和广场等组成的综合性地下建筑。</w:t>
      </w:r>
    </w:p>
    <w:p>
      <w:pPr>
        <w:pStyle w:val="22"/>
        <w:numPr>
          <w:ilvl w:val="2"/>
          <w:numId w:val="1"/>
        </w:numPr>
        <w:ind w:left="0" w:firstLine="560"/>
      </w:pPr>
      <w:r>
        <w:rPr>
          <w:rFonts w:hint="eastAsia"/>
        </w:rPr>
        <w:t>地下街应与铁路车站、公交枢纽等公共交通设施整合建设，不得妨碍地面公共设施的使用及管理。</w:t>
      </w:r>
    </w:p>
    <w:p>
      <w:pPr>
        <w:pStyle w:val="22"/>
        <w:numPr>
          <w:ilvl w:val="2"/>
          <w:numId w:val="1"/>
        </w:numPr>
        <w:ind w:left="0" w:firstLine="560"/>
      </w:pPr>
      <w:r>
        <w:rPr>
          <w:rFonts w:hint="eastAsia"/>
        </w:rPr>
        <w:t>地下街的规划建设应与区域商业配置及发展趋势相协调。</w:t>
      </w:r>
    </w:p>
    <w:p>
      <w:pPr>
        <w:pStyle w:val="22"/>
        <w:numPr>
          <w:ilvl w:val="2"/>
          <w:numId w:val="1"/>
        </w:numPr>
        <w:ind w:left="0" w:firstLine="560"/>
      </w:pPr>
      <w:r>
        <w:rPr>
          <w:rFonts w:hint="eastAsia"/>
        </w:rPr>
        <w:t>地下街的规模应综合考虑该区域长远发展规划以及地下街的通行能力等因素（通行能力宜按20年内预测的高峰小时交通量确定）。地下街建筑总面积不宜少于5000平方米，并配套设置必需的水、风、电等设施。</w:t>
      </w:r>
    </w:p>
    <w:p>
      <w:pPr>
        <w:pStyle w:val="22"/>
        <w:numPr>
          <w:ilvl w:val="2"/>
          <w:numId w:val="1"/>
        </w:numPr>
        <w:ind w:left="0" w:firstLine="560"/>
      </w:pPr>
      <w:r>
        <w:rPr>
          <w:rFonts w:hint="eastAsia"/>
        </w:rPr>
        <w:t>商业街区应整体规划设计，街区内相邻商业地块的地下空间应连通。商业项目单独设计的，须留有与相邻地块地下空间对接通道。</w:t>
      </w:r>
    </w:p>
    <w:p>
      <w:pPr>
        <w:pStyle w:val="22"/>
        <w:numPr>
          <w:ilvl w:val="2"/>
          <w:numId w:val="1"/>
        </w:numPr>
        <w:ind w:left="0" w:firstLine="560"/>
      </w:pPr>
      <w:r>
        <w:rPr>
          <w:rFonts w:hint="eastAsia"/>
        </w:rPr>
        <w:t>地下街交通与商业各部分面积应保持合理的比例，地下街内商业设施的布置不应妨碍人行交通及视线的通达性，公共人行通道的净宽度宜为4～6米。</w:t>
      </w:r>
    </w:p>
    <w:p>
      <w:pPr>
        <w:pStyle w:val="22"/>
        <w:numPr>
          <w:ilvl w:val="2"/>
          <w:numId w:val="1"/>
        </w:numPr>
        <w:ind w:left="0" w:firstLine="560"/>
      </w:pPr>
      <w:r>
        <w:rPr>
          <w:rFonts w:hint="eastAsia"/>
        </w:rPr>
        <w:t>建筑物地下室与地下街相连接应符合公共连接需求为前提。与地下街相连接的建筑物地下室应设置符合规划要求的防火分区，并有直接通向地面的出入口和排烟设施。</w:t>
      </w:r>
    </w:p>
    <w:p>
      <w:pPr>
        <w:pStyle w:val="3"/>
        <w:numPr>
          <w:ilvl w:val="1"/>
          <w:numId w:val="1"/>
        </w:numPr>
        <w:ind w:left="941" w:hanging="940" w:hangingChars="294"/>
        <w:rPr>
          <w:lang w:eastAsia="zh-CN"/>
        </w:rPr>
      </w:pPr>
      <w:bookmarkStart w:id="36" w:name="_Toc523230060"/>
      <w:r>
        <w:rPr>
          <w:rFonts w:hint="eastAsia"/>
          <w:lang w:eastAsia="zh-CN"/>
        </w:rPr>
        <w:t>地下停车场</w:t>
      </w:r>
      <w:bookmarkEnd w:id="36"/>
    </w:p>
    <w:p>
      <w:pPr>
        <w:pStyle w:val="22"/>
        <w:numPr>
          <w:ilvl w:val="2"/>
          <w:numId w:val="1"/>
        </w:numPr>
        <w:ind w:left="0" w:firstLine="560"/>
      </w:pPr>
      <w:r>
        <w:rPr>
          <w:rFonts w:hint="eastAsia"/>
        </w:rPr>
        <w:t>停车场规划应充分利用城市地下空间，集约用地。公共停车场宜结合公园绿地、广场、体育场馆及地下人防设施修建地下公共停车场。</w:t>
      </w:r>
    </w:p>
    <w:p>
      <w:pPr>
        <w:pStyle w:val="22"/>
        <w:numPr>
          <w:ilvl w:val="2"/>
          <w:numId w:val="1"/>
        </w:numPr>
        <w:ind w:left="0" w:firstLine="560"/>
      </w:pPr>
      <w:r>
        <w:rPr>
          <w:rFonts w:hint="eastAsia"/>
        </w:rPr>
        <w:t>地下停车场的建设应考虑动态交通与静态交通的协调，以及个体交通工具与公共交通工具的换乘与衔接。地下公共停车场宜与地下街及地铁车站等大型公共服务设施的地下空间设施整合建设，并与相邻地下停车场预留战时连接通道。</w:t>
      </w:r>
    </w:p>
    <w:p>
      <w:pPr>
        <w:pStyle w:val="22"/>
        <w:numPr>
          <w:ilvl w:val="2"/>
          <w:numId w:val="1"/>
        </w:numPr>
        <w:ind w:left="0" w:firstLine="560"/>
      </w:pPr>
      <w:r>
        <w:rPr>
          <w:rFonts w:hint="eastAsia"/>
        </w:rPr>
        <w:t>地下停车场应满足安全、舒适、通风、防火等要求，机动车出入口设置的数量和宽度应符合</w:t>
      </w:r>
      <w:r>
        <w:t>3.3.1</w:t>
      </w:r>
      <w:r>
        <w:rPr>
          <w:rFonts w:hint="eastAsia"/>
        </w:rPr>
        <w:t>条款规定。</w:t>
      </w:r>
    </w:p>
    <w:p>
      <w:pPr>
        <w:pStyle w:val="22"/>
        <w:numPr>
          <w:ilvl w:val="2"/>
          <w:numId w:val="1"/>
        </w:numPr>
        <w:ind w:left="0" w:firstLine="560"/>
      </w:pPr>
      <w:r>
        <w:rPr>
          <w:rFonts w:hint="eastAsia"/>
        </w:rPr>
        <w:t>地下停车场出入口距离城市道路红线不应小于7.5米，并在距离出入口边线内2米处视点120°范围内至边线外7.5米以上不应有遮挡视线障碍物。</w:t>
      </w:r>
    </w:p>
    <w:p>
      <w:pPr>
        <w:pStyle w:val="22"/>
        <w:numPr>
          <w:ilvl w:val="2"/>
          <w:numId w:val="1"/>
        </w:numPr>
        <w:ind w:left="0" w:firstLine="560"/>
      </w:pPr>
      <w:r>
        <w:rPr>
          <w:rFonts w:hint="eastAsia"/>
        </w:rPr>
        <w:t>地下停车场出入口纵坡：直线坡道坡度不大于15%，曲线坡道坡度不大于12%，并设置缓坡；直线缓坡段的坡度是坡道坡度的一半，且水平长度不小于3.6米，曲线缓坡段水平长度不小于2.4米，其半径不小于20米。</w:t>
      </w:r>
    </w:p>
    <w:p/>
    <w:p>
      <w:pPr>
        <w:pStyle w:val="2"/>
        <w:numPr>
          <w:ilvl w:val="0"/>
          <w:numId w:val="1"/>
        </w:numPr>
        <w:ind w:left="781" w:hanging="781" w:hangingChars="217"/>
      </w:pPr>
      <w:bookmarkStart w:id="37" w:name="_Toc523230061"/>
      <w:r>
        <w:rPr>
          <w:rFonts w:hint="eastAsia"/>
        </w:rPr>
        <w:t>附则</w:t>
      </w:r>
      <w:bookmarkEnd w:id="37"/>
    </w:p>
    <w:p/>
    <w:p>
      <w:pPr>
        <w:pStyle w:val="22"/>
        <w:numPr>
          <w:ilvl w:val="0"/>
          <w:numId w:val="2"/>
        </w:numPr>
        <w:ind w:firstLineChars="0"/>
        <w:rPr>
          <w:vanish/>
        </w:rPr>
      </w:pPr>
    </w:p>
    <w:p>
      <w:pPr>
        <w:pStyle w:val="22"/>
        <w:numPr>
          <w:ilvl w:val="0"/>
          <w:numId w:val="2"/>
        </w:numPr>
        <w:ind w:firstLineChars="0"/>
        <w:rPr>
          <w:vanish/>
        </w:rPr>
      </w:pPr>
    </w:p>
    <w:p>
      <w:pPr>
        <w:pStyle w:val="22"/>
        <w:numPr>
          <w:ilvl w:val="0"/>
          <w:numId w:val="2"/>
        </w:numPr>
        <w:ind w:firstLineChars="0"/>
        <w:rPr>
          <w:vanish/>
        </w:rPr>
      </w:pPr>
    </w:p>
    <w:p>
      <w:pPr>
        <w:pStyle w:val="22"/>
        <w:numPr>
          <w:ilvl w:val="0"/>
          <w:numId w:val="2"/>
        </w:numPr>
        <w:ind w:firstLineChars="0"/>
        <w:rPr>
          <w:vanish/>
        </w:rPr>
      </w:pPr>
    </w:p>
    <w:p>
      <w:pPr>
        <w:pStyle w:val="22"/>
        <w:numPr>
          <w:ilvl w:val="0"/>
          <w:numId w:val="2"/>
        </w:numPr>
        <w:ind w:firstLineChars="0"/>
        <w:rPr>
          <w:vanish/>
        </w:rPr>
      </w:pPr>
    </w:p>
    <w:p>
      <w:pPr>
        <w:pStyle w:val="22"/>
        <w:numPr>
          <w:ilvl w:val="0"/>
          <w:numId w:val="2"/>
        </w:numPr>
        <w:ind w:firstLineChars="0"/>
        <w:rPr>
          <w:vanish/>
        </w:rPr>
      </w:pPr>
    </w:p>
    <w:p>
      <w:pPr>
        <w:pStyle w:val="22"/>
        <w:numPr>
          <w:ilvl w:val="0"/>
          <w:numId w:val="2"/>
        </w:numPr>
        <w:ind w:firstLineChars="0"/>
        <w:rPr>
          <w:vanish/>
        </w:rPr>
      </w:pPr>
    </w:p>
    <w:p>
      <w:pPr>
        <w:pStyle w:val="22"/>
        <w:numPr>
          <w:ilvl w:val="1"/>
          <w:numId w:val="2"/>
        </w:numPr>
        <w:ind w:firstLineChars="0"/>
        <w:rPr>
          <w:vanish/>
        </w:rPr>
      </w:pPr>
    </w:p>
    <w:p>
      <w:pPr>
        <w:pStyle w:val="22"/>
        <w:numPr>
          <w:ilvl w:val="2"/>
          <w:numId w:val="2"/>
        </w:numPr>
        <w:ind w:left="1400" w:firstLineChars="0"/>
      </w:pPr>
      <w:r>
        <w:rPr>
          <w:rFonts w:hint="eastAsia"/>
        </w:rPr>
        <w:t xml:space="preserve">  本技术规定自吴川市人民政府批准之日起施行。</w:t>
      </w:r>
    </w:p>
    <w:p>
      <w:pPr>
        <w:pStyle w:val="22"/>
        <w:numPr>
          <w:ilvl w:val="2"/>
          <w:numId w:val="2"/>
        </w:numPr>
        <w:ind w:left="0" w:firstLine="560"/>
      </w:pPr>
      <w:r>
        <w:rPr>
          <w:rFonts w:hint="eastAsia"/>
        </w:rPr>
        <w:t>本技术规定颁布施行前已经吴川市城市规划委员会审议通过的建设项目可按原规定执行。涉及国家和广东省相关规范和标准的，按现行规范和标准执行。原规定没有明确相关要求的，应按本技术规定执行。</w:t>
      </w:r>
    </w:p>
    <w:p>
      <w:pPr>
        <w:pStyle w:val="22"/>
        <w:numPr>
          <w:ilvl w:val="2"/>
          <w:numId w:val="2"/>
        </w:numPr>
        <w:ind w:left="0" w:firstLine="560"/>
      </w:pPr>
      <w:r>
        <w:rPr>
          <w:rFonts w:hint="eastAsia"/>
        </w:rPr>
        <w:t>本技术规定由吴川市住房和城乡规划建设局负责解释。</w:t>
      </w:r>
    </w:p>
    <w:p/>
    <w:p>
      <w:pPr>
        <w:pStyle w:val="2"/>
        <w:numPr>
          <w:ilvl w:val="0"/>
          <w:numId w:val="1"/>
        </w:numPr>
        <w:ind w:left="781" w:hanging="781" w:hangingChars="217"/>
      </w:pPr>
      <w:bookmarkStart w:id="38" w:name="_Toc523230062"/>
      <w:r>
        <w:rPr>
          <w:rFonts w:hint="eastAsia"/>
        </w:rPr>
        <w:t>附录</w:t>
      </w:r>
      <w:bookmarkEnd w:id="38"/>
    </w:p>
    <w:p>
      <w:pPr>
        <w:pStyle w:val="3"/>
        <w:numPr>
          <w:ilvl w:val="1"/>
          <w:numId w:val="1"/>
        </w:numPr>
        <w:ind w:left="941" w:hanging="940" w:hangingChars="294"/>
        <w:rPr>
          <w:lang w:eastAsia="zh-CN"/>
        </w:rPr>
      </w:pPr>
      <w:bookmarkStart w:id="39" w:name="_Toc523230063"/>
      <w:r>
        <w:rPr>
          <w:rFonts w:hint="eastAsia"/>
          <w:lang w:eastAsia="zh-CN"/>
        </w:rPr>
        <w:t>计算规则</w:t>
      </w:r>
      <w:bookmarkEnd w:id="39"/>
    </w:p>
    <w:p>
      <w:pPr>
        <w:pStyle w:val="22"/>
        <w:numPr>
          <w:ilvl w:val="2"/>
          <w:numId w:val="1"/>
        </w:numPr>
        <w:ind w:left="0" w:firstLine="0" w:firstLineChars="0"/>
      </w:pPr>
      <w:r>
        <w:rPr>
          <w:rFonts w:hint="eastAsia"/>
        </w:rPr>
        <w:t>容积率、建筑密度计算</w:t>
      </w:r>
    </w:p>
    <w:p>
      <w:pPr>
        <w:ind w:firstLine="560" w:firstLineChars="200"/>
      </w:pPr>
      <w:r>
        <w:rPr>
          <w:rFonts w:hint="eastAsia"/>
        </w:rPr>
        <w:t>1、建设用地开发强度指标计算的地块面积，除经规划部门批准的用地规划设计条件特别规定以外，原则上以所取得的土地使用权证或不动产权证的权属用地面积为准，因规划退让道路的用地面积可纳入开发强度指标计算。</w:t>
      </w:r>
    </w:p>
    <w:p>
      <w:pPr>
        <w:ind w:firstLine="560" w:firstLineChars="200"/>
      </w:pPr>
      <w:r>
        <w:rPr>
          <w:rFonts w:hint="eastAsia"/>
        </w:rPr>
        <w:t>建设项目权属用地范围内规划设置的道路防护绿地及公园绿地，并由建设项目投资建设的，不需要政府给予补偿的，该绿地面积可按50%计入项目用地的规划指标作为奖励。</w:t>
      </w:r>
    </w:p>
    <w:p>
      <w:pPr>
        <w:ind w:firstLine="560" w:firstLineChars="200"/>
      </w:pPr>
      <w:r>
        <w:rPr>
          <w:rFonts w:hint="eastAsia"/>
        </w:rPr>
        <w:t>2、在核定建筑工程的建筑面积时，应严格按照《建筑工程建筑面积计算规范》GB/T50353-2013执行。</w:t>
      </w:r>
    </w:p>
    <w:p>
      <w:pPr>
        <w:ind w:firstLine="560" w:firstLineChars="200"/>
      </w:pPr>
      <w:r>
        <w:rPr>
          <w:rFonts w:hint="eastAsia"/>
        </w:rPr>
        <w:t>3、住宅类建设项目可不纳入容积率计算的建筑面积包括：</w:t>
      </w:r>
    </w:p>
    <w:p>
      <w:pPr>
        <w:ind w:firstLine="560" w:firstLineChars="200"/>
      </w:pPr>
      <w:r>
        <w:rPr>
          <w:rFonts w:hint="eastAsia"/>
        </w:rPr>
        <w:t>（</w:t>
      </w:r>
      <w:r>
        <w:t>1</w:t>
      </w:r>
      <w:r>
        <w:rPr>
          <w:rFonts w:hint="eastAsia"/>
        </w:rPr>
        <w:t>）建设项目配建的中小学校、托老所、老人活动中心、社区公共服务用房、物业管理用房、设备用房、停车场（库）等；</w:t>
      </w:r>
    </w:p>
    <w:p>
      <w:pPr>
        <w:ind w:firstLine="560" w:firstLineChars="200"/>
      </w:pPr>
      <w:r>
        <w:rPr>
          <w:rFonts w:hint="eastAsia"/>
        </w:rPr>
        <w:t>（2）建筑首层或裙楼顶面公共架空部分；</w:t>
      </w:r>
    </w:p>
    <w:p>
      <w:pPr>
        <w:ind w:firstLine="560" w:firstLineChars="200"/>
      </w:pPr>
      <w:r>
        <w:rPr>
          <w:rFonts w:hint="eastAsia"/>
        </w:rPr>
        <w:t>（3）裙楼顶面设置的转换层（不架空，但层高不超过2.2米）；</w:t>
      </w:r>
    </w:p>
    <w:p>
      <w:pPr>
        <w:ind w:firstLine="560" w:firstLineChars="200"/>
      </w:pPr>
      <w:r>
        <w:rPr>
          <w:rFonts w:hint="eastAsia"/>
        </w:rPr>
        <w:t>（4）小区室外设置的亭、廊等景观小品。</w:t>
      </w:r>
    </w:p>
    <w:p>
      <w:pPr>
        <w:ind w:firstLine="560" w:firstLineChars="200"/>
      </w:pPr>
      <w:r>
        <w:rPr>
          <w:rFonts w:hint="eastAsia"/>
        </w:rPr>
        <w:t>4、除住宅类以外的其他建设项目可不纳入容积率计算的建筑面积包括：</w:t>
      </w:r>
    </w:p>
    <w:p>
      <w:pPr>
        <w:ind w:firstLine="560" w:firstLineChars="200"/>
      </w:pPr>
      <w:r>
        <w:rPr>
          <w:rFonts w:hint="eastAsia"/>
        </w:rPr>
        <w:t>（1）地下停车场（库）；</w:t>
      </w:r>
    </w:p>
    <w:p>
      <w:pPr>
        <w:ind w:firstLine="560" w:firstLineChars="200"/>
      </w:pPr>
      <w:r>
        <w:rPr>
          <w:rFonts w:hint="eastAsia"/>
        </w:rPr>
        <w:t>（2）裙楼顶面设置的转换层（不架空，但层高不超过2.2米）；</w:t>
      </w:r>
    </w:p>
    <w:p>
      <w:pPr>
        <w:ind w:firstLine="560" w:firstLineChars="200"/>
      </w:pPr>
      <w:r>
        <w:rPr>
          <w:rFonts w:hint="eastAsia"/>
        </w:rPr>
        <w:t>（3）室外场地设置的亭、廊等景观小品。</w:t>
      </w:r>
    </w:p>
    <w:p>
      <w:pPr>
        <w:ind w:firstLine="560" w:firstLineChars="200"/>
      </w:pPr>
      <w:r>
        <w:rPr>
          <w:rFonts w:hint="eastAsia"/>
        </w:rPr>
        <w:t>5、建筑高度超过100米的超高层建筑，消防安全要求设置避难层的避难空间可不计入容积率；建筑楼层地板面高度在100～150米部分的建筑面积按50%计入容积率；建筑楼层地板面高度大于150米部分的建筑面积不计入容积率，且建筑高度100米以上不计容建筑面积不得大于该建筑计容建筑面积的30%。</w:t>
      </w:r>
    </w:p>
    <w:p>
      <w:pPr>
        <w:ind w:firstLine="560" w:firstLineChars="200"/>
      </w:pPr>
      <w:r>
        <w:rPr>
          <w:rFonts w:hint="eastAsia"/>
        </w:rPr>
        <w:t xml:space="preserve">6、项目室外地坪标高、地下室覆土后标高及建筑退让道路用地的地坪标高应与周边城 市道路标高衔接，且相对标高的坡度应控制在5‰以内，且地下室顶板标高不得高出周边 城市道路中心线标高（周边道路标高高差较大的特殊情况须经专家论证通过）。 </w:t>
      </w:r>
    </w:p>
    <w:p>
      <w:pPr>
        <w:ind w:firstLine="560" w:firstLineChars="200"/>
      </w:pPr>
      <w:r>
        <w:rPr>
          <w:rFonts w:hint="eastAsia"/>
        </w:rPr>
        <w:t>7、建筑基底面积按其外墙勒脚以上结构外围水平投影面积计算：独立建筑按外墙墙体的外围水平投影面积计算；室外有顶盖、有立柱的走廊（沿街骑楼除外）、门廊、门厅等按立柱外边线水平投影面积计算；有立柱或墙体落地的凸阳台、凹阳台、平台均按立柱外边线或者墙体外边线水平投影面积计算；悬挑不落地的阳台（不论凹凸）、平台、过道等，均不纳入计算；小区设置的亭、廊等景观小品及地下室出入口没有围护结构的顶盖可不计入建筑密度。</w:t>
      </w:r>
    </w:p>
    <w:p>
      <w:pPr>
        <w:ind w:firstLine="560" w:firstLineChars="200"/>
      </w:pPr>
      <w:r>
        <w:rPr>
          <w:rFonts w:hint="eastAsia"/>
        </w:rPr>
        <w:t>8、城市公共开放空间是指城市室外面向所有市民，全天免费开放，经过人工开发并提供活动设施的场所。城市公共开放空间可不纳入建筑容积率计算。</w:t>
      </w:r>
    </w:p>
    <w:p>
      <w:pPr>
        <w:ind w:firstLine="560" w:firstLineChars="200"/>
      </w:pPr>
      <w:r>
        <w:rPr>
          <w:rFonts w:hint="eastAsia"/>
        </w:rPr>
        <w:t>城市综合体建筑物内部（首层）或外部提供对外开放的全天候步行空间或通道，将周边商业建筑、城市街道、广场、游园等公共空间联系在一起，且其有效宽度不小于4米的公共开放空间建筑面积，可不纳入容积率计算。</w:t>
      </w:r>
    </w:p>
    <w:p>
      <w:pPr>
        <w:ind w:firstLine="560" w:firstLineChars="200"/>
      </w:pPr>
      <w:r>
        <w:rPr>
          <w:rFonts w:hint="eastAsia"/>
        </w:rPr>
        <w:t>9、本技术规定凡涉及公共开放空间、公共设施以及奖励建筑面积不纳入建筑容积率计算的，均应计算其建筑面积。</w:t>
      </w:r>
      <w:r>
        <w:t xml:space="preserve"> </w:t>
      </w:r>
    </w:p>
    <w:p>
      <w:pPr>
        <w:pStyle w:val="22"/>
        <w:numPr>
          <w:ilvl w:val="2"/>
          <w:numId w:val="1"/>
        </w:numPr>
        <w:ind w:left="0" w:firstLine="0" w:firstLineChars="0"/>
      </w:pPr>
      <w:r>
        <w:rPr>
          <w:rFonts w:hint="eastAsia"/>
        </w:rPr>
        <w:t>建设用地绿地率计算</w:t>
      </w:r>
    </w:p>
    <w:p>
      <w:pPr>
        <w:ind w:firstLine="560" w:firstLineChars="200"/>
      </w:pPr>
      <w:r>
        <w:rPr>
          <w:rFonts w:hint="eastAsia"/>
        </w:rPr>
        <w:t>1、宅旁(围合院落)绿地面积计算：绿地与宅间路、组团路和小区路相邻的，计算起止界至路边；绿地与小区主道、城市道路相邻的，计至道路红线。宅旁绿地起止界为距离房屋墙脚1.5米，与围墙相邻绿地则计至围墙脚。</w:t>
      </w:r>
    </w:p>
    <w:p>
      <w:pPr>
        <w:ind w:firstLine="560" w:firstLineChars="200"/>
      </w:pPr>
      <w:r>
        <w:rPr>
          <w:rFonts w:hint="eastAsia"/>
        </w:rPr>
        <w:t>其他块状、带状公共绿地面积计算起止界，同宅旁绿地计算。</w:t>
      </w:r>
    </w:p>
    <w:p>
      <w:pPr>
        <w:ind w:firstLine="560" w:firstLineChars="200"/>
      </w:pPr>
      <w:r>
        <w:rPr>
          <w:rFonts w:hint="eastAsia"/>
        </w:rPr>
        <w:t>2、道路绿地面积计算：以道路红线内的规划绿地面积为准进行计算。对仅种植乔木的行道树绿带，宽度按1.5米计；对乔木下成带状、配置地被植物，且宽度大于1.5米的行道树绿带，按实际宽度计算。</w:t>
      </w:r>
    </w:p>
    <w:p>
      <w:pPr>
        <w:ind w:firstLine="560" w:firstLineChars="200"/>
      </w:pPr>
      <w:r>
        <w:rPr>
          <w:rFonts w:hint="eastAsia"/>
        </w:rPr>
        <w:t>3、开敞型院落组团绿地应至少有一边面向小区道路或面向建筑间距不小于10米的组团级主路开敞，并临道路设置绿地的主要出入口。</w:t>
      </w:r>
    </w:p>
    <w:p>
      <w:pPr>
        <w:ind w:firstLine="560" w:firstLineChars="200"/>
      </w:pPr>
      <w:r>
        <w:rPr>
          <w:rFonts w:hint="eastAsia"/>
        </w:rPr>
        <w:t xml:space="preserve">4、建筑屋顶绿化（宜设为下沉式绿地）绿地率计算： </w:t>
      </w:r>
    </w:p>
    <w:p>
      <w:pPr>
        <w:ind w:firstLine="560" w:firstLineChars="200"/>
      </w:pPr>
      <w:r>
        <w:rPr>
          <w:rFonts w:hint="eastAsia"/>
        </w:rPr>
        <w:t>（1） 地下建筑屋顶板面高于主体建筑室外地坪标高小于2.2米的，地下建筑屋顶板面绿化面积按其覆土厚度计算绿地率：</w:t>
      </w:r>
    </w:p>
    <w:p>
      <w:pPr>
        <w:ind w:firstLine="560" w:firstLineChars="200"/>
      </w:pPr>
      <w:r>
        <w:rPr>
          <w:rFonts w:hint="eastAsia"/>
        </w:rPr>
        <w:t>覆土厚度大于1.0米的绿化面积按100%计入绿地率；</w:t>
      </w:r>
    </w:p>
    <w:p>
      <w:pPr>
        <w:ind w:firstLine="560" w:firstLineChars="200"/>
      </w:pPr>
      <w:r>
        <w:rPr>
          <w:rFonts w:hint="eastAsia"/>
        </w:rPr>
        <w:t>覆土厚度0.5～1.0米的绿化面积按60%计入绿地率；</w:t>
      </w:r>
    </w:p>
    <w:p>
      <w:pPr>
        <w:ind w:firstLine="560" w:firstLineChars="200"/>
      </w:pPr>
      <w:r>
        <w:rPr>
          <w:rFonts w:hint="eastAsia"/>
        </w:rPr>
        <w:t>覆土厚度小于0.5米的绿化面积按30%计入绿地率。</w:t>
      </w:r>
    </w:p>
    <w:p>
      <w:pPr>
        <w:ind w:firstLine="560" w:firstLineChars="200"/>
      </w:pPr>
      <w:r>
        <w:rPr>
          <w:rFonts w:hint="eastAsia"/>
        </w:rPr>
        <w:t>（2） 地下建筑屋顶板面高于室外地坪标高2.2米以上或建筑高度小于24米的，建筑屋顶绿化面积按前款标准的50%计入绿地率。</w:t>
      </w:r>
    </w:p>
    <w:p>
      <w:pPr>
        <w:ind w:firstLine="560" w:firstLineChars="200"/>
      </w:pPr>
      <w:r>
        <w:rPr>
          <w:rFonts w:hint="eastAsia"/>
        </w:rPr>
        <w:t>5、建筑退让道路用地等地面绿化，绿地底部采用硬底化铺设，不满足下沉式绿地设置要求的，按前款地下建筑覆土厚度计算绿地率。</w:t>
      </w:r>
    </w:p>
    <w:p>
      <w:pPr>
        <w:ind w:firstLine="560" w:firstLineChars="200"/>
        <w:rPr>
          <w:rFonts w:hAnsi="宋体" w:eastAsia="黑体"/>
          <w:bCs/>
          <w:sz w:val="32"/>
          <w:szCs w:val="26"/>
          <w:lang w:bidi="en-US"/>
        </w:rPr>
      </w:pPr>
      <w:r>
        <w:rPr>
          <w:rFonts w:hint="eastAsia"/>
        </w:rPr>
        <w:t>6、生态停车场应是整体且高绿化率、高承载力、高渗透率的植草砖铺砌地坪，其有效植草面积不小于50%，并间隔种植一定数量的遮荫乔木（停车位隔离绿化带宽度应 不少于1.5米），将停车空间与园林绿化空间有机结合。生态停车场地面采用植草地坪的，可按50%计入绿地率。</w:t>
      </w:r>
      <w:r>
        <w:br w:type="page"/>
      </w:r>
    </w:p>
    <w:p>
      <w:pPr>
        <w:pStyle w:val="3"/>
        <w:numPr>
          <w:ilvl w:val="1"/>
          <w:numId w:val="1"/>
        </w:numPr>
        <w:ind w:left="941" w:hanging="940" w:hangingChars="294"/>
        <w:rPr>
          <w:lang w:eastAsia="zh-CN"/>
        </w:rPr>
      </w:pPr>
      <w:bookmarkStart w:id="40" w:name="_Toc523230064"/>
      <w:r>
        <w:rPr>
          <w:rFonts w:hint="eastAsia"/>
          <w:lang w:eastAsia="zh-CN"/>
        </w:rPr>
        <w:t>名词解释</w:t>
      </w:r>
      <w:bookmarkEnd w:id="40"/>
    </w:p>
    <w:p>
      <w:pPr>
        <w:pStyle w:val="22"/>
        <w:numPr>
          <w:ilvl w:val="2"/>
          <w:numId w:val="1"/>
        </w:numPr>
        <w:ind w:left="0" w:firstLine="0" w:firstLineChars="0"/>
      </w:pPr>
      <w:r>
        <w:rPr>
          <w:rFonts w:hint="eastAsia"/>
        </w:rPr>
        <w:t>道路红线：指规划的城市道路(含居住区级道路)用地的边界线。</w:t>
      </w:r>
    </w:p>
    <w:p>
      <w:pPr>
        <w:pStyle w:val="22"/>
        <w:numPr>
          <w:ilvl w:val="2"/>
          <w:numId w:val="1"/>
        </w:numPr>
        <w:ind w:left="0" w:firstLine="0" w:firstLineChars="0"/>
      </w:pPr>
      <w:r>
        <w:rPr>
          <w:rFonts w:hint="eastAsia"/>
        </w:rPr>
        <w:t>建筑退让：指建筑退让用地红线、退让道路红线、退让规划绿线和退让规划蓝线等。</w:t>
      </w:r>
    </w:p>
    <w:p>
      <w:pPr>
        <w:pStyle w:val="22"/>
        <w:numPr>
          <w:ilvl w:val="2"/>
          <w:numId w:val="1"/>
        </w:numPr>
        <w:ind w:left="0" w:firstLine="0" w:firstLineChars="0"/>
      </w:pPr>
      <w:r>
        <w:rPr>
          <w:rFonts w:hint="eastAsia"/>
        </w:rPr>
        <w:t>建筑间距：指两幢建(构)筑物外墙勒脚以上外墙表面之间的最小水平距离。</w:t>
      </w:r>
    </w:p>
    <w:p>
      <w:pPr>
        <w:pStyle w:val="22"/>
        <w:numPr>
          <w:ilvl w:val="2"/>
          <w:numId w:val="1"/>
        </w:numPr>
        <w:ind w:left="0" w:firstLine="0" w:firstLineChars="0"/>
      </w:pPr>
      <w:r>
        <w:rPr>
          <w:rFonts w:hint="eastAsia"/>
        </w:rPr>
        <w:t>建筑高度：指建筑物室外地面到其檐口或屋面面层的高度。</w:t>
      </w:r>
    </w:p>
    <w:p>
      <w:pPr>
        <w:pStyle w:val="22"/>
        <w:numPr>
          <w:ilvl w:val="2"/>
          <w:numId w:val="1"/>
        </w:numPr>
        <w:ind w:left="0" w:firstLine="0" w:firstLineChars="0"/>
      </w:pPr>
      <w:r>
        <w:rPr>
          <w:rFonts w:hint="eastAsia"/>
        </w:rPr>
        <w:t>容积率：也称建筑容积率，指根据本技术规定计算规则，建设用地范围内总建筑面积与用地面积的比值。计算容积率简称计容。</w:t>
      </w:r>
    </w:p>
    <w:p>
      <w:pPr>
        <w:pStyle w:val="22"/>
        <w:numPr>
          <w:ilvl w:val="2"/>
          <w:numId w:val="1"/>
        </w:numPr>
        <w:ind w:left="0" w:firstLine="0" w:firstLineChars="0"/>
      </w:pPr>
      <w:r>
        <w:rPr>
          <w:rFonts w:hint="eastAsia"/>
        </w:rPr>
        <w:t>建筑（或塔楼、裙楼）密度：指建设用地内所有建筑物（或塔楼、裙楼）的基底面积总和与建设用地面积的比例，用百分比表示。</w:t>
      </w:r>
    </w:p>
    <w:p>
      <w:pPr>
        <w:pStyle w:val="22"/>
        <w:numPr>
          <w:ilvl w:val="2"/>
          <w:numId w:val="1"/>
        </w:numPr>
        <w:ind w:left="0" w:firstLine="0" w:firstLineChars="0"/>
      </w:pPr>
      <w:r>
        <w:rPr>
          <w:rFonts w:hint="eastAsia"/>
        </w:rPr>
        <w:t>绿地率：指建设用地范围内的绿地面积总和与建设用地面积的比例，用百分比表示。</w:t>
      </w:r>
    </w:p>
    <w:p>
      <w:pPr>
        <w:pStyle w:val="22"/>
        <w:numPr>
          <w:ilvl w:val="2"/>
          <w:numId w:val="1"/>
        </w:numPr>
        <w:ind w:left="0" w:firstLine="0" w:firstLineChars="0"/>
      </w:pPr>
      <w:r>
        <w:rPr>
          <w:rFonts w:hint="eastAsia"/>
        </w:rPr>
        <w:t>下沉式绿地：指低于周边铺砌地面或道路的绿地，一般下凹深度为0.1～0.2米，下沉式绿地内一般应设置溢流口。</w:t>
      </w:r>
    </w:p>
    <w:p>
      <w:pPr>
        <w:pStyle w:val="22"/>
        <w:numPr>
          <w:ilvl w:val="2"/>
          <w:numId w:val="1"/>
        </w:numPr>
        <w:ind w:left="0" w:firstLine="0" w:firstLineChars="0"/>
      </w:pPr>
      <w:r>
        <w:rPr>
          <w:rFonts w:hint="eastAsia"/>
        </w:rPr>
        <w:t>下沉式绿地率：指下沉式绿地面积与绿地总面积的比例，用百分比表示。</w:t>
      </w:r>
    </w:p>
    <w:p>
      <w:pPr>
        <w:pStyle w:val="22"/>
        <w:numPr>
          <w:ilvl w:val="2"/>
          <w:numId w:val="1"/>
        </w:numPr>
        <w:ind w:left="0" w:firstLine="0" w:firstLineChars="0"/>
      </w:pPr>
      <w:r>
        <w:rPr>
          <w:rFonts w:hint="eastAsia"/>
        </w:rPr>
        <w:t>透水铺装率：指透水铺装面积与硬化地面总面积的比例，用百分比表示。</w:t>
      </w:r>
    </w:p>
    <w:p>
      <w:pPr>
        <w:pStyle w:val="22"/>
        <w:numPr>
          <w:ilvl w:val="2"/>
          <w:numId w:val="1"/>
        </w:numPr>
        <w:ind w:left="0" w:firstLine="0" w:firstLineChars="0"/>
      </w:pPr>
      <w:r>
        <w:rPr>
          <w:rFonts w:hint="eastAsia"/>
        </w:rPr>
        <w:t>绿色屋顶率：指绿色屋顶面积与建筑屋顶总面积的比例，用百分比表示。</w:t>
      </w:r>
    </w:p>
    <w:p>
      <w:pPr>
        <w:pStyle w:val="22"/>
        <w:numPr>
          <w:ilvl w:val="2"/>
          <w:numId w:val="1"/>
        </w:numPr>
        <w:ind w:left="0" w:firstLine="0" w:firstLineChars="0"/>
      </w:pPr>
      <w:r>
        <w:rPr>
          <w:rFonts w:hint="eastAsia"/>
        </w:rPr>
        <w:t>建筑基底面积：指建筑物接触地面的自然层建筑外墙或结构外围水平投影面积。</w:t>
      </w:r>
    </w:p>
    <w:p>
      <w:pPr>
        <w:pStyle w:val="22"/>
        <w:numPr>
          <w:ilvl w:val="2"/>
          <w:numId w:val="1"/>
        </w:numPr>
        <w:ind w:left="0" w:firstLine="0" w:firstLineChars="0"/>
      </w:pPr>
      <w:r>
        <w:rPr>
          <w:rFonts w:hint="eastAsia"/>
        </w:rPr>
        <w:t>建筑面积：指建筑物(包括墙体)所形成的楼地板面面积。</w:t>
      </w:r>
    </w:p>
    <w:p>
      <w:pPr>
        <w:pStyle w:val="22"/>
        <w:numPr>
          <w:ilvl w:val="2"/>
          <w:numId w:val="1"/>
        </w:numPr>
        <w:ind w:left="0" w:firstLine="0" w:firstLineChars="0"/>
      </w:pPr>
      <w:r>
        <w:rPr>
          <w:rFonts w:hint="eastAsia"/>
        </w:rPr>
        <w:t>塔楼与裙楼：塔楼指高层建筑主体部分,裙楼指与高层主体建筑紧密连接，组成一个整体，建筑高度小于24米的附属建筑。当裙楼建筑高度为24米以上时，按高层建筑要求控制。</w:t>
      </w:r>
    </w:p>
    <w:p>
      <w:pPr>
        <w:pStyle w:val="22"/>
        <w:numPr>
          <w:ilvl w:val="2"/>
          <w:numId w:val="1"/>
        </w:numPr>
        <w:ind w:left="0" w:firstLine="0" w:firstLineChars="0"/>
      </w:pPr>
      <w:r>
        <w:rPr>
          <w:rFonts w:hint="eastAsia"/>
        </w:rPr>
        <w:t>建筑栋与幢：建筑单元或独立单元建筑为栋，整座建筑为幢，包括单栋或多栋建筑拼接。</w:t>
      </w:r>
    </w:p>
    <w:p>
      <w:pPr>
        <w:pStyle w:val="22"/>
        <w:numPr>
          <w:ilvl w:val="2"/>
          <w:numId w:val="1"/>
        </w:numPr>
        <w:ind w:left="0" w:firstLine="0" w:firstLineChars="0"/>
      </w:pPr>
      <w:r>
        <w:rPr>
          <w:rFonts w:hint="eastAsia"/>
        </w:rPr>
        <w:t>遮挡建筑：指与相邻建筑的阳光遮挡关系，位于南面或者东面的建筑称作遮挡建筑，位于北面或者西面的建筑称作被遮挡建筑。</w:t>
      </w:r>
    </w:p>
    <w:p>
      <w:pPr>
        <w:pStyle w:val="22"/>
        <w:numPr>
          <w:ilvl w:val="2"/>
          <w:numId w:val="1"/>
        </w:numPr>
        <w:ind w:left="0" w:firstLine="0" w:firstLineChars="0"/>
      </w:pPr>
      <w:r>
        <w:rPr>
          <w:rFonts w:hint="eastAsia"/>
        </w:rPr>
        <w:t>建筑面宽：建筑物外轮廓单面投影宽度，包括开口天井。</w:t>
      </w:r>
    </w:p>
    <w:p>
      <w:pPr>
        <w:pStyle w:val="22"/>
        <w:numPr>
          <w:ilvl w:val="2"/>
          <w:numId w:val="1"/>
        </w:numPr>
        <w:ind w:left="0" w:firstLine="0" w:firstLineChars="0"/>
      </w:pPr>
      <w:r>
        <w:rPr>
          <w:rFonts w:hint="eastAsia"/>
        </w:rPr>
        <w:t>建筑主体结构：指接受、承担和传递建设工程所有上部荷载，维持上部结构整体性、稳定性和安全性有机联系的构造。建筑主体结构内为建筑主体结构柱墙和结构梁所围合空间。</w:t>
      </w:r>
    </w:p>
    <w:p>
      <w:pPr>
        <w:pStyle w:val="22"/>
        <w:numPr>
          <w:ilvl w:val="2"/>
          <w:numId w:val="1"/>
        </w:numPr>
        <w:ind w:left="0" w:firstLine="0" w:firstLineChars="0"/>
      </w:pPr>
      <w:r>
        <w:rPr>
          <w:rFonts w:hint="eastAsia"/>
        </w:rPr>
        <w:t>阳台：指附设于建筑物外墙，设有栏杆或栏板，可供人活动的室外空间。阳台根据其使用功能可分为生活阳台和服务阳台。</w:t>
      </w:r>
    </w:p>
    <w:p>
      <w:pPr>
        <w:pStyle w:val="22"/>
        <w:numPr>
          <w:ilvl w:val="2"/>
          <w:numId w:val="1"/>
        </w:numPr>
        <w:ind w:left="0" w:firstLine="0" w:firstLineChars="0"/>
      </w:pPr>
      <w:r>
        <w:rPr>
          <w:rFonts w:hint="eastAsia"/>
        </w:rPr>
        <w:t>骑楼：沿街二层以上由承重柱支撑，骑跨在公共人行空间之上，其底层建筑部分后退，沿街部分形成柱廊式架空的建筑。</w:t>
      </w:r>
    </w:p>
    <w:p>
      <w:pPr>
        <w:pStyle w:val="22"/>
        <w:numPr>
          <w:ilvl w:val="2"/>
          <w:numId w:val="1"/>
        </w:numPr>
        <w:ind w:left="0" w:firstLine="0" w:firstLineChars="0"/>
      </w:pPr>
      <w:r>
        <w:rPr>
          <w:rFonts w:hint="eastAsia"/>
        </w:rPr>
        <w:t>地下室、半地下室：室内地面低于室外地平面的高度超过该室内净高1/2的房间为地下室；室内地面低于室外地平面的高度超过该室内净高的1/3，且不超过1/2的房间为半地下室。</w:t>
      </w:r>
    </w:p>
    <w:p>
      <w:pPr>
        <w:pStyle w:val="22"/>
        <w:numPr>
          <w:ilvl w:val="2"/>
          <w:numId w:val="1"/>
        </w:numPr>
        <w:ind w:left="0" w:firstLine="0" w:firstLineChars="0"/>
      </w:pPr>
      <w:r>
        <w:rPr>
          <w:rFonts w:hint="eastAsia"/>
        </w:rPr>
        <w:t>住宅建筑：指供家庭居住使用的建筑，简称住宅。</w:t>
      </w:r>
    </w:p>
    <w:p>
      <w:pPr>
        <w:pStyle w:val="22"/>
        <w:numPr>
          <w:ilvl w:val="2"/>
          <w:numId w:val="1"/>
        </w:numPr>
        <w:ind w:left="0" w:firstLine="0" w:firstLineChars="0"/>
      </w:pPr>
      <w:r>
        <w:rPr>
          <w:rFonts w:hint="eastAsia"/>
        </w:rPr>
        <w:t>非住宅建筑：指除住宅以外的非居住用房，包括商业、办公、医疗、教育、公共福利、工业、物流仓储等用房。</w:t>
      </w:r>
    </w:p>
    <w:p>
      <w:pPr>
        <w:pStyle w:val="22"/>
        <w:numPr>
          <w:ilvl w:val="2"/>
          <w:numId w:val="1"/>
        </w:numPr>
        <w:ind w:left="0" w:firstLine="0" w:firstLineChars="0"/>
      </w:pPr>
      <w:r>
        <w:rPr>
          <w:rFonts w:hint="eastAsia"/>
        </w:rPr>
        <w:t>公寓：指为非家庭住户提供居所的集体性居住建筑，建筑性质按其用地性质划分。公寓集中独立布局且用地或建设规模超出建设项目配套相关规定的，按居住用地规定执行。</w:t>
      </w:r>
    </w:p>
    <w:p>
      <w:pPr>
        <w:pStyle w:val="22"/>
        <w:numPr>
          <w:ilvl w:val="2"/>
          <w:numId w:val="1"/>
        </w:numPr>
        <w:ind w:left="0" w:firstLine="0" w:firstLineChars="0"/>
      </w:pPr>
      <w:r>
        <w:rPr>
          <w:rFonts w:hint="eastAsia"/>
        </w:rPr>
        <w:t>保障性住房：指为特定人群所提供的限定建造标准、限定价格或租金的住房，包括公共租赁房、定向安置房和棚户区改造房等。</w:t>
      </w:r>
    </w:p>
    <w:p>
      <w:pPr>
        <w:pStyle w:val="22"/>
        <w:numPr>
          <w:ilvl w:val="2"/>
          <w:numId w:val="1"/>
        </w:numPr>
        <w:ind w:left="0" w:firstLine="0" w:firstLineChars="0"/>
      </w:pPr>
      <w:r>
        <w:rPr>
          <w:rFonts w:hint="eastAsia"/>
        </w:rPr>
        <w:t>全装修住宅：指房地产开发商将住宅交付住户前，住宅内所有功能空间的固定面全部铺装或粉刷完成，套内水、电、厨房和卫生间的基本设备全部安装完毕，住户可入住的住宅称为全装修住宅。</w:t>
      </w:r>
    </w:p>
    <w:p>
      <w:pPr>
        <w:pStyle w:val="22"/>
        <w:numPr>
          <w:ilvl w:val="2"/>
          <w:numId w:val="1"/>
        </w:numPr>
        <w:ind w:left="0" w:firstLine="0" w:firstLineChars="0"/>
      </w:pPr>
      <w:r>
        <w:rPr>
          <w:rFonts w:hint="eastAsia"/>
        </w:rPr>
        <w:t>商业街区: 指数量众多或规模较大的商业服务业建筑，以带状街道或块状建筑形态组成的区域性商业集群，包括商业街、城市综合体、及计容建筑面积大于3万平方米的单体商业服务业建筑。</w:t>
      </w:r>
    </w:p>
    <w:p>
      <w:pPr>
        <w:pStyle w:val="22"/>
        <w:numPr>
          <w:ilvl w:val="2"/>
          <w:numId w:val="1"/>
        </w:numPr>
        <w:ind w:left="0" w:firstLine="0" w:firstLineChars="0"/>
      </w:pPr>
      <w:r>
        <w:rPr>
          <w:rFonts w:hint="eastAsia"/>
        </w:rPr>
        <w:t>城市综合体：是指商业、商务、居住、娱乐、交通场站设施等三项以上城市用地类别组合，并在各部分间建立相互依存、相互助益的能动关系，形成一个多功能、高效率的综合体。城市综合体用地面积应大于5公顷，裙楼建筑应为一整体，总建筑面积不小于20万平方米。</w:t>
      </w:r>
    </w:p>
    <w:p>
      <w:pPr>
        <w:widowControl/>
        <w:jc w:val="left"/>
        <w:rPr>
          <w:rFonts w:hAnsi="宋体" w:eastAsia="黑体"/>
          <w:bCs/>
          <w:sz w:val="32"/>
          <w:szCs w:val="26"/>
          <w:lang w:bidi="en-US"/>
        </w:rPr>
      </w:pPr>
      <w:r>
        <w:br w:type="page"/>
      </w:r>
    </w:p>
    <w:p>
      <w:pPr>
        <w:pStyle w:val="3"/>
        <w:numPr>
          <w:ilvl w:val="1"/>
          <w:numId w:val="1"/>
        </w:numPr>
        <w:ind w:left="941" w:hanging="940" w:hangingChars="294"/>
        <w:rPr>
          <w:lang w:eastAsia="zh-CN"/>
        </w:rPr>
      </w:pPr>
      <w:bookmarkStart w:id="41" w:name="_Toc523230065"/>
      <w:r>
        <w:rPr>
          <w:rFonts w:hint="eastAsia"/>
          <w:lang w:eastAsia="zh-CN"/>
        </w:rPr>
        <w:t>用词说明</w:t>
      </w:r>
      <w:bookmarkEnd w:id="41"/>
    </w:p>
    <w:p>
      <w:pPr>
        <w:pStyle w:val="22"/>
        <w:numPr>
          <w:ilvl w:val="2"/>
          <w:numId w:val="1"/>
        </w:numPr>
        <w:ind w:left="0" w:firstLine="0" w:firstLineChars="0"/>
      </w:pPr>
      <w:r>
        <w:rPr>
          <w:rFonts w:hint="eastAsia"/>
        </w:rPr>
        <w:t>为便于在执行本技术规定条文时区别对待，对于要求严格程度不同的用词说明如下：</w:t>
      </w:r>
    </w:p>
    <w:p>
      <w:pPr>
        <w:ind w:firstLine="560" w:firstLineChars="200"/>
      </w:pPr>
      <w:r>
        <w:rPr>
          <w:rFonts w:hint="eastAsia"/>
        </w:rPr>
        <w:t>1、表示很严格，非这样做不可的：</w:t>
      </w:r>
    </w:p>
    <w:p>
      <w:pPr>
        <w:ind w:firstLine="560" w:firstLineChars="200"/>
      </w:pPr>
      <w:r>
        <w:rPr>
          <w:rFonts w:hint="eastAsia"/>
        </w:rPr>
        <w:t>正面词采用“必须”；反面词采用“严禁”。</w:t>
      </w:r>
    </w:p>
    <w:p>
      <w:pPr>
        <w:ind w:firstLine="560" w:firstLineChars="200"/>
      </w:pPr>
      <w:r>
        <w:rPr>
          <w:rFonts w:hint="eastAsia"/>
        </w:rPr>
        <w:t>2、表示严格，在正常情况下均应这样做的：</w:t>
      </w:r>
    </w:p>
    <w:p>
      <w:pPr>
        <w:ind w:firstLine="560" w:firstLineChars="200"/>
      </w:pPr>
      <w:r>
        <w:rPr>
          <w:rFonts w:hint="eastAsia"/>
        </w:rPr>
        <w:t>正面词采用“应”；反面词采用“不应”或“不得”。</w:t>
      </w:r>
    </w:p>
    <w:p>
      <w:pPr>
        <w:ind w:firstLine="560" w:firstLineChars="200"/>
      </w:pPr>
      <w:r>
        <w:rPr>
          <w:rFonts w:hint="eastAsia"/>
        </w:rPr>
        <w:t>3、表示允许稍有选择，在条件许可时，首先应这样做的：</w:t>
      </w:r>
    </w:p>
    <w:p>
      <w:pPr>
        <w:ind w:firstLine="560" w:firstLineChars="200"/>
      </w:pPr>
      <w:r>
        <w:rPr>
          <w:rFonts w:hint="eastAsia"/>
        </w:rPr>
        <w:t>正面词采用“宜”；反面词采用“不宜”。</w:t>
      </w:r>
    </w:p>
    <w:p>
      <w:pPr>
        <w:ind w:firstLine="560" w:firstLineChars="200"/>
      </w:pPr>
      <w:r>
        <w:rPr>
          <w:rFonts w:hint="eastAsia"/>
        </w:rPr>
        <w:t>4、表示有选择，在一定条件下可以这样做的，采用“可”。</w:t>
      </w:r>
    </w:p>
    <w:p>
      <w:pPr>
        <w:pStyle w:val="22"/>
        <w:numPr>
          <w:ilvl w:val="2"/>
          <w:numId w:val="1"/>
        </w:numPr>
        <w:ind w:left="0" w:firstLine="0" w:firstLineChars="0"/>
      </w:pPr>
      <w:r>
        <w:rPr>
          <w:rFonts w:hint="eastAsia"/>
        </w:rPr>
        <w:t>技术规定条文中指明应按指定标准或规范执行的写法为：</w:t>
      </w:r>
    </w:p>
    <w:p>
      <w:pPr>
        <w:pStyle w:val="22"/>
        <w:ind w:firstLine="560"/>
      </w:pPr>
      <w:r>
        <w:rPr>
          <w:rFonts w:hint="eastAsia"/>
        </w:rPr>
        <w:t>“应按……执行”或“应符合……的要求（或规定）”；</w:t>
      </w:r>
    </w:p>
    <w:p>
      <w:pPr>
        <w:pStyle w:val="22"/>
        <w:ind w:firstLine="560"/>
      </w:pPr>
      <w:r>
        <w:rPr>
          <w:rFonts w:hint="eastAsia"/>
        </w:rPr>
        <w:t>非必须按所指定标准或规范执行的写法为“可参照……执行”。</w:t>
      </w:r>
    </w:p>
    <w:p>
      <w:pPr>
        <w:pStyle w:val="22"/>
        <w:numPr>
          <w:ilvl w:val="2"/>
          <w:numId w:val="1"/>
        </w:numPr>
        <w:ind w:left="0" w:firstLine="0" w:firstLineChars="0"/>
      </w:pPr>
      <w:r>
        <w:rPr>
          <w:rFonts w:hint="eastAsia"/>
        </w:rPr>
        <w:t>本技术规定中所称“以上”、“以下”、“以内”、“不大于”、“不少于”、“不小于”均包括本数；</w:t>
      </w:r>
    </w:p>
    <w:p>
      <w:pPr>
        <w:pStyle w:val="22"/>
        <w:ind w:firstLine="560"/>
      </w:pPr>
      <w:r>
        <w:rPr>
          <w:rFonts w:hint="eastAsia"/>
        </w:rPr>
        <w:t>规定中所称“大于”、“小于”、“以外”、“多于”、“少于”均不包括本数。</w:t>
      </w:r>
    </w:p>
    <w:p>
      <w:pPr>
        <w:pStyle w:val="22"/>
        <w:ind w:firstLine="560"/>
      </w:pPr>
    </w:p>
    <w:p>
      <w:pPr>
        <w:pStyle w:val="22"/>
        <w:ind w:firstLine="560"/>
      </w:pPr>
    </w:p>
    <w:p>
      <w:pPr>
        <w:pStyle w:val="22"/>
        <w:ind w:firstLine="560"/>
      </w:pPr>
    </w:p>
    <w:p>
      <w:pPr>
        <w:pStyle w:val="22"/>
        <w:ind w:firstLine="560"/>
      </w:pPr>
    </w:p>
    <w:p>
      <w:pPr>
        <w:pStyle w:val="22"/>
        <w:ind w:firstLine="560"/>
      </w:pPr>
    </w:p>
    <w:p>
      <w:pPr>
        <w:pStyle w:val="22"/>
        <w:ind w:firstLine="560"/>
      </w:pPr>
    </w:p>
    <w:p>
      <w:pPr>
        <w:pStyle w:val="22"/>
        <w:ind w:firstLine="560"/>
      </w:pPr>
    </w:p>
    <w:p>
      <w:pPr>
        <w:pStyle w:val="22"/>
        <w:ind w:firstLine="560"/>
      </w:pPr>
    </w:p>
    <w:p>
      <w:pPr>
        <w:pStyle w:val="3"/>
        <w:numPr>
          <w:ilvl w:val="1"/>
          <w:numId w:val="1"/>
        </w:numPr>
        <w:ind w:left="941" w:hanging="940" w:hangingChars="294"/>
        <w:rPr>
          <w:lang w:eastAsia="zh-CN"/>
        </w:rPr>
      </w:pPr>
      <w:bookmarkStart w:id="42" w:name="_Toc523230066"/>
      <w:r>
        <w:rPr>
          <w:rFonts w:hint="eastAsia"/>
          <w:lang w:eastAsia="zh-CN"/>
        </w:rPr>
        <w:t>中心城区旧城区范围图</w:t>
      </w:r>
      <w:bookmarkEnd w:id="42"/>
    </w:p>
    <w:p>
      <w:pPr>
        <w:pStyle w:val="22"/>
        <w:ind w:firstLine="560"/>
      </w:pPr>
    </w:p>
    <w:sectPr>
      <w:type w:val="nextColumn"/>
      <w:pgSz w:w="11906" w:h="16838"/>
      <w:pgMar w:top="1418" w:right="1134" w:bottom="1418" w:left="1134" w:header="851" w:footer="680" w:gutter="284"/>
      <w:cols w:space="425"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ii</w:t>
    </w:r>
    <w:r>
      <w:rPr>
        <w:sz w:val="21"/>
        <w:szCs w:val="21"/>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6765"/>
        <w:tab w:val="right" w:pos="9354"/>
      </w:tabs>
      <w:rPr>
        <w:sz w:val="21"/>
        <w:szCs w:val="21"/>
      </w:rPr>
    </w:pPr>
    <w:r>
      <w:rPr>
        <w:sz w:val="21"/>
        <w:szCs w:val="21"/>
      </w:rPr>
      <w:tab/>
    </w:r>
    <w:r>
      <w:rPr>
        <w:sz w:val="21"/>
        <w:szCs w:val="21"/>
      </w:rPr>
      <w:tab/>
    </w:r>
    <w:r>
      <w:rPr>
        <w:sz w:val="21"/>
        <w:szCs w:val="21"/>
      </w:rPr>
      <w:tab/>
    </w:r>
    <w:r>
      <w:rPr>
        <w:sz w:val="21"/>
        <w:szCs w:val="21"/>
      </w:rPr>
      <w:tab/>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17</w:t>
    </w:r>
    <w:r>
      <w:rPr>
        <w:sz w:val="21"/>
        <w:szCs w:val="21"/>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4577C"/>
    <w:multiLevelType w:val="multilevel"/>
    <w:tmpl w:val="5454577C"/>
    <w:lvl w:ilvl="0" w:tentative="0">
      <w:start w:val="1"/>
      <w:numFmt w:val="decimal"/>
      <w:lvlText w:val="%1"/>
      <w:lvlJc w:val="left"/>
      <w:pPr>
        <w:ind w:left="840" w:hanging="840"/>
      </w:pPr>
      <w:rPr>
        <w:rFonts w:hint="default"/>
      </w:rPr>
    </w:lvl>
    <w:lvl w:ilvl="1" w:tentative="0">
      <w:start w:val="0"/>
      <w:numFmt w:val="decimal"/>
      <w:lvlText w:val="%1.%2"/>
      <w:lvlJc w:val="left"/>
      <w:pPr>
        <w:ind w:left="840" w:hanging="840"/>
      </w:pPr>
      <w:rPr>
        <w:rFonts w:hint="default"/>
      </w:rPr>
    </w:lvl>
    <w:lvl w:ilvl="2" w:tentative="0">
      <w:start w:val="1"/>
      <w:numFmt w:val="decimal"/>
      <w:lvlText w:val="%1.%2.%3"/>
      <w:lvlJc w:val="left"/>
      <w:pPr>
        <w:ind w:left="840" w:hanging="84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74AF2D78"/>
    <w:multiLevelType w:val="multilevel"/>
    <w:tmpl w:val="74AF2D78"/>
    <w:lvl w:ilvl="0" w:tentative="0">
      <w:start w:val="1"/>
      <w:numFmt w:val="decimal"/>
      <w:lvlText w:val="%1."/>
      <w:lvlJc w:val="left"/>
      <w:pPr>
        <w:ind w:left="3337" w:hanging="360"/>
      </w:pPr>
      <w:rPr>
        <w:rFonts w:hint="default"/>
      </w:rPr>
    </w:lvl>
    <w:lvl w:ilvl="1" w:tentative="0">
      <w:start w:val="1"/>
      <w:numFmt w:val="decimal"/>
      <w:isLgl/>
      <w:lvlText w:val="%1.%2"/>
      <w:lvlJc w:val="left"/>
      <w:pPr>
        <w:ind w:left="3068" w:hanging="375"/>
      </w:pPr>
      <w:rPr>
        <w:rFonts w:hint="default"/>
      </w:rPr>
    </w:lvl>
    <w:lvl w:ilvl="2" w:tentative="0">
      <w:start w:val="1"/>
      <w:numFmt w:val="decimal"/>
      <w:isLgl/>
      <w:lvlText w:val="%1.%2.%3"/>
      <w:lvlJc w:val="left"/>
      <w:pPr>
        <w:ind w:left="6957"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evenAndOddHeaders w:val="1"/>
  <w:drawingGridHorizontalSpacing w:val="140"/>
  <w:drawingGridVerticalSpacing w:val="26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ZWNmZWEyY2I4YzFkODU0ZjE2Y2RlNGFmOWRkZWMifQ=="/>
  </w:docVars>
  <w:rsids>
    <w:rsidRoot w:val="00172A27"/>
    <w:rsid w:val="00007FB0"/>
    <w:rsid w:val="00016ED5"/>
    <w:rsid w:val="00021B01"/>
    <w:rsid w:val="00021D95"/>
    <w:rsid w:val="000369D2"/>
    <w:rsid w:val="0004161F"/>
    <w:rsid w:val="0004542A"/>
    <w:rsid w:val="00045E31"/>
    <w:rsid w:val="00054BDA"/>
    <w:rsid w:val="00063C7E"/>
    <w:rsid w:val="00063E72"/>
    <w:rsid w:val="00071142"/>
    <w:rsid w:val="000A41A9"/>
    <w:rsid w:val="000A6F80"/>
    <w:rsid w:val="000B51BF"/>
    <w:rsid w:val="000B53BF"/>
    <w:rsid w:val="000C0D0F"/>
    <w:rsid w:val="000C0EFA"/>
    <w:rsid w:val="000C4E6D"/>
    <w:rsid w:val="000C6D5D"/>
    <w:rsid w:val="000C6DFC"/>
    <w:rsid w:val="000C73D0"/>
    <w:rsid w:val="000D11F6"/>
    <w:rsid w:val="000D5DE9"/>
    <w:rsid w:val="000D5ED2"/>
    <w:rsid w:val="000D6AB2"/>
    <w:rsid w:val="000D6EA8"/>
    <w:rsid w:val="000E2C68"/>
    <w:rsid w:val="000E5AC3"/>
    <w:rsid w:val="000F04AC"/>
    <w:rsid w:val="000F1755"/>
    <w:rsid w:val="000F356A"/>
    <w:rsid w:val="000F6273"/>
    <w:rsid w:val="0011126B"/>
    <w:rsid w:val="00117124"/>
    <w:rsid w:val="00121411"/>
    <w:rsid w:val="001247B8"/>
    <w:rsid w:val="001279C0"/>
    <w:rsid w:val="0013391A"/>
    <w:rsid w:val="0013416E"/>
    <w:rsid w:val="00143D0F"/>
    <w:rsid w:val="00155349"/>
    <w:rsid w:val="001561EA"/>
    <w:rsid w:val="001566A9"/>
    <w:rsid w:val="00172A27"/>
    <w:rsid w:val="001749BB"/>
    <w:rsid w:val="0017579D"/>
    <w:rsid w:val="00193084"/>
    <w:rsid w:val="001B3980"/>
    <w:rsid w:val="001C2179"/>
    <w:rsid w:val="001D3C72"/>
    <w:rsid w:val="001D4FDA"/>
    <w:rsid w:val="001E6330"/>
    <w:rsid w:val="001F322F"/>
    <w:rsid w:val="002002A3"/>
    <w:rsid w:val="002157C1"/>
    <w:rsid w:val="00220DBE"/>
    <w:rsid w:val="002228F8"/>
    <w:rsid w:val="00222C6A"/>
    <w:rsid w:val="00224B27"/>
    <w:rsid w:val="002348DB"/>
    <w:rsid w:val="00237355"/>
    <w:rsid w:val="00241651"/>
    <w:rsid w:val="00241BC1"/>
    <w:rsid w:val="002457BE"/>
    <w:rsid w:val="00250CF1"/>
    <w:rsid w:val="002605E0"/>
    <w:rsid w:val="002606B3"/>
    <w:rsid w:val="00260D53"/>
    <w:rsid w:val="00273B64"/>
    <w:rsid w:val="002755CB"/>
    <w:rsid w:val="0027738D"/>
    <w:rsid w:val="00280F89"/>
    <w:rsid w:val="00281625"/>
    <w:rsid w:val="00284F8B"/>
    <w:rsid w:val="002919B6"/>
    <w:rsid w:val="002A021D"/>
    <w:rsid w:val="002A2409"/>
    <w:rsid w:val="002B04B7"/>
    <w:rsid w:val="002B5448"/>
    <w:rsid w:val="002B5BF2"/>
    <w:rsid w:val="002B5FD3"/>
    <w:rsid w:val="002C1B8A"/>
    <w:rsid w:val="002C56F9"/>
    <w:rsid w:val="002D0EB1"/>
    <w:rsid w:val="002D13FF"/>
    <w:rsid w:val="002D58DA"/>
    <w:rsid w:val="002E1243"/>
    <w:rsid w:val="002E39B0"/>
    <w:rsid w:val="002E43E3"/>
    <w:rsid w:val="002F1C0B"/>
    <w:rsid w:val="002F2DB8"/>
    <w:rsid w:val="0031693C"/>
    <w:rsid w:val="00324451"/>
    <w:rsid w:val="003270C7"/>
    <w:rsid w:val="003304DA"/>
    <w:rsid w:val="003440B6"/>
    <w:rsid w:val="00346C3F"/>
    <w:rsid w:val="00354188"/>
    <w:rsid w:val="003609BF"/>
    <w:rsid w:val="003612BF"/>
    <w:rsid w:val="00376AE2"/>
    <w:rsid w:val="00381F49"/>
    <w:rsid w:val="00382B6E"/>
    <w:rsid w:val="00382D09"/>
    <w:rsid w:val="003846CA"/>
    <w:rsid w:val="00386D61"/>
    <w:rsid w:val="003A4538"/>
    <w:rsid w:val="003A66C0"/>
    <w:rsid w:val="003A6C11"/>
    <w:rsid w:val="003B362F"/>
    <w:rsid w:val="003D16B3"/>
    <w:rsid w:val="003D7F58"/>
    <w:rsid w:val="003E231B"/>
    <w:rsid w:val="003E41AB"/>
    <w:rsid w:val="003F73E1"/>
    <w:rsid w:val="00410455"/>
    <w:rsid w:val="00416383"/>
    <w:rsid w:val="00421D40"/>
    <w:rsid w:val="004238F9"/>
    <w:rsid w:val="00424F5C"/>
    <w:rsid w:val="00427927"/>
    <w:rsid w:val="00427AFD"/>
    <w:rsid w:val="00433516"/>
    <w:rsid w:val="00434A85"/>
    <w:rsid w:val="0043637B"/>
    <w:rsid w:val="00436DE0"/>
    <w:rsid w:val="004372F3"/>
    <w:rsid w:val="00440602"/>
    <w:rsid w:val="004519FD"/>
    <w:rsid w:val="00453760"/>
    <w:rsid w:val="004543A0"/>
    <w:rsid w:val="00463389"/>
    <w:rsid w:val="0047025C"/>
    <w:rsid w:val="00470609"/>
    <w:rsid w:val="00471119"/>
    <w:rsid w:val="00477EFA"/>
    <w:rsid w:val="00481A65"/>
    <w:rsid w:val="00482753"/>
    <w:rsid w:val="0048412E"/>
    <w:rsid w:val="0048480D"/>
    <w:rsid w:val="00486B3E"/>
    <w:rsid w:val="0049544C"/>
    <w:rsid w:val="004B0E0A"/>
    <w:rsid w:val="004B30BE"/>
    <w:rsid w:val="004B4382"/>
    <w:rsid w:val="004B73B1"/>
    <w:rsid w:val="004C27C7"/>
    <w:rsid w:val="004C5860"/>
    <w:rsid w:val="004D297E"/>
    <w:rsid w:val="004E5442"/>
    <w:rsid w:val="004F293A"/>
    <w:rsid w:val="004F34CF"/>
    <w:rsid w:val="00502D7C"/>
    <w:rsid w:val="005063DD"/>
    <w:rsid w:val="0050657B"/>
    <w:rsid w:val="00506FBC"/>
    <w:rsid w:val="00511D37"/>
    <w:rsid w:val="00521DD8"/>
    <w:rsid w:val="00522F04"/>
    <w:rsid w:val="00531322"/>
    <w:rsid w:val="00536760"/>
    <w:rsid w:val="00545116"/>
    <w:rsid w:val="00546873"/>
    <w:rsid w:val="00553057"/>
    <w:rsid w:val="00554BDA"/>
    <w:rsid w:val="00554E6A"/>
    <w:rsid w:val="0055756F"/>
    <w:rsid w:val="00561FFB"/>
    <w:rsid w:val="00572076"/>
    <w:rsid w:val="00577868"/>
    <w:rsid w:val="005810BE"/>
    <w:rsid w:val="00584B28"/>
    <w:rsid w:val="005940F1"/>
    <w:rsid w:val="00595743"/>
    <w:rsid w:val="00595CBF"/>
    <w:rsid w:val="00597A4A"/>
    <w:rsid w:val="005A4079"/>
    <w:rsid w:val="005A5F53"/>
    <w:rsid w:val="005B2C9F"/>
    <w:rsid w:val="005B47A4"/>
    <w:rsid w:val="005B780C"/>
    <w:rsid w:val="005C40ED"/>
    <w:rsid w:val="005D161C"/>
    <w:rsid w:val="005D1C37"/>
    <w:rsid w:val="005D3C83"/>
    <w:rsid w:val="005D5972"/>
    <w:rsid w:val="005D6E6C"/>
    <w:rsid w:val="005E1E29"/>
    <w:rsid w:val="005E5A81"/>
    <w:rsid w:val="00602D91"/>
    <w:rsid w:val="00604F33"/>
    <w:rsid w:val="006437F6"/>
    <w:rsid w:val="00646BE4"/>
    <w:rsid w:val="00660774"/>
    <w:rsid w:val="00663B2D"/>
    <w:rsid w:val="00676666"/>
    <w:rsid w:val="006810D3"/>
    <w:rsid w:val="00682A40"/>
    <w:rsid w:val="00685011"/>
    <w:rsid w:val="006855AA"/>
    <w:rsid w:val="00686079"/>
    <w:rsid w:val="006903A1"/>
    <w:rsid w:val="00692460"/>
    <w:rsid w:val="006938B5"/>
    <w:rsid w:val="006A47FE"/>
    <w:rsid w:val="006C5988"/>
    <w:rsid w:val="006C7159"/>
    <w:rsid w:val="006D3B34"/>
    <w:rsid w:val="006E33E7"/>
    <w:rsid w:val="006F3785"/>
    <w:rsid w:val="006F6328"/>
    <w:rsid w:val="006F7E1C"/>
    <w:rsid w:val="00700B8A"/>
    <w:rsid w:val="00703CFA"/>
    <w:rsid w:val="007213A7"/>
    <w:rsid w:val="00722CBB"/>
    <w:rsid w:val="00724836"/>
    <w:rsid w:val="00731BED"/>
    <w:rsid w:val="007324D2"/>
    <w:rsid w:val="00732FB6"/>
    <w:rsid w:val="00741119"/>
    <w:rsid w:val="00744746"/>
    <w:rsid w:val="0075032F"/>
    <w:rsid w:val="00774DED"/>
    <w:rsid w:val="007824D3"/>
    <w:rsid w:val="00785A12"/>
    <w:rsid w:val="00785CF5"/>
    <w:rsid w:val="007865D4"/>
    <w:rsid w:val="00786872"/>
    <w:rsid w:val="00790D96"/>
    <w:rsid w:val="00795089"/>
    <w:rsid w:val="007A1CD1"/>
    <w:rsid w:val="007A5C91"/>
    <w:rsid w:val="007B2D4E"/>
    <w:rsid w:val="007B6747"/>
    <w:rsid w:val="007C710F"/>
    <w:rsid w:val="007C7F5D"/>
    <w:rsid w:val="007D2359"/>
    <w:rsid w:val="007E0FA7"/>
    <w:rsid w:val="007E4720"/>
    <w:rsid w:val="007F0B15"/>
    <w:rsid w:val="007F1B40"/>
    <w:rsid w:val="007F3EBD"/>
    <w:rsid w:val="00814A59"/>
    <w:rsid w:val="00835F33"/>
    <w:rsid w:val="00836CAC"/>
    <w:rsid w:val="00841BDE"/>
    <w:rsid w:val="00844040"/>
    <w:rsid w:val="008440DF"/>
    <w:rsid w:val="00846EF3"/>
    <w:rsid w:val="00855BBE"/>
    <w:rsid w:val="0087242D"/>
    <w:rsid w:val="008749D2"/>
    <w:rsid w:val="0089774F"/>
    <w:rsid w:val="008A3C72"/>
    <w:rsid w:val="008A5085"/>
    <w:rsid w:val="008A56D4"/>
    <w:rsid w:val="008C2DE4"/>
    <w:rsid w:val="008C4C21"/>
    <w:rsid w:val="008F16DE"/>
    <w:rsid w:val="008F5B33"/>
    <w:rsid w:val="008F5B6D"/>
    <w:rsid w:val="00900672"/>
    <w:rsid w:val="0090449C"/>
    <w:rsid w:val="009064C7"/>
    <w:rsid w:val="0090671C"/>
    <w:rsid w:val="009113E5"/>
    <w:rsid w:val="00915830"/>
    <w:rsid w:val="00920BAF"/>
    <w:rsid w:val="0092333A"/>
    <w:rsid w:val="00923DF9"/>
    <w:rsid w:val="00925311"/>
    <w:rsid w:val="00930705"/>
    <w:rsid w:val="00934E91"/>
    <w:rsid w:val="009414A1"/>
    <w:rsid w:val="009442EB"/>
    <w:rsid w:val="0095751D"/>
    <w:rsid w:val="009642CC"/>
    <w:rsid w:val="0096523A"/>
    <w:rsid w:val="00973BAA"/>
    <w:rsid w:val="00977A40"/>
    <w:rsid w:val="009A03EB"/>
    <w:rsid w:val="009A2C12"/>
    <w:rsid w:val="009B0188"/>
    <w:rsid w:val="009E0729"/>
    <w:rsid w:val="009E19E1"/>
    <w:rsid w:val="009E393D"/>
    <w:rsid w:val="009E3B4A"/>
    <w:rsid w:val="009E48CF"/>
    <w:rsid w:val="009E6F72"/>
    <w:rsid w:val="009F0C6A"/>
    <w:rsid w:val="009F21A2"/>
    <w:rsid w:val="009F59EC"/>
    <w:rsid w:val="009F6FD8"/>
    <w:rsid w:val="00A0028E"/>
    <w:rsid w:val="00A025D1"/>
    <w:rsid w:val="00A4007D"/>
    <w:rsid w:val="00A42129"/>
    <w:rsid w:val="00A45F1A"/>
    <w:rsid w:val="00A52A90"/>
    <w:rsid w:val="00A53C4D"/>
    <w:rsid w:val="00A71740"/>
    <w:rsid w:val="00A800C2"/>
    <w:rsid w:val="00A83A96"/>
    <w:rsid w:val="00A924A9"/>
    <w:rsid w:val="00A93D61"/>
    <w:rsid w:val="00AA2FDB"/>
    <w:rsid w:val="00AA3B55"/>
    <w:rsid w:val="00AA6370"/>
    <w:rsid w:val="00AB340D"/>
    <w:rsid w:val="00AC3BDD"/>
    <w:rsid w:val="00AC70F0"/>
    <w:rsid w:val="00AD0FE8"/>
    <w:rsid w:val="00AE00A0"/>
    <w:rsid w:val="00AE3681"/>
    <w:rsid w:val="00AE6031"/>
    <w:rsid w:val="00AE693D"/>
    <w:rsid w:val="00AF520A"/>
    <w:rsid w:val="00AF7670"/>
    <w:rsid w:val="00B02EEF"/>
    <w:rsid w:val="00B12C57"/>
    <w:rsid w:val="00B35CA7"/>
    <w:rsid w:val="00B36063"/>
    <w:rsid w:val="00B36D5C"/>
    <w:rsid w:val="00B37AF9"/>
    <w:rsid w:val="00B4013D"/>
    <w:rsid w:val="00B41295"/>
    <w:rsid w:val="00B4162D"/>
    <w:rsid w:val="00B47758"/>
    <w:rsid w:val="00B53D42"/>
    <w:rsid w:val="00B60D2B"/>
    <w:rsid w:val="00B62F05"/>
    <w:rsid w:val="00B63334"/>
    <w:rsid w:val="00B77B15"/>
    <w:rsid w:val="00B85E7B"/>
    <w:rsid w:val="00B955E1"/>
    <w:rsid w:val="00BA09B2"/>
    <w:rsid w:val="00BA3958"/>
    <w:rsid w:val="00BA6A43"/>
    <w:rsid w:val="00BB0A89"/>
    <w:rsid w:val="00BC148F"/>
    <w:rsid w:val="00BD0972"/>
    <w:rsid w:val="00BD17CE"/>
    <w:rsid w:val="00BD2502"/>
    <w:rsid w:val="00BE47A9"/>
    <w:rsid w:val="00BE66B2"/>
    <w:rsid w:val="00BE6FF4"/>
    <w:rsid w:val="00BF00F0"/>
    <w:rsid w:val="00BF02D5"/>
    <w:rsid w:val="00BF1454"/>
    <w:rsid w:val="00C006F9"/>
    <w:rsid w:val="00C01ADD"/>
    <w:rsid w:val="00C03A99"/>
    <w:rsid w:val="00C0649F"/>
    <w:rsid w:val="00C06E44"/>
    <w:rsid w:val="00C1126B"/>
    <w:rsid w:val="00C2255B"/>
    <w:rsid w:val="00C23470"/>
    <w:rsid w:val="00C401BA"/>
    <w:rsid w:val="00C40ECC"/>
    <w:rsid w:val="00C4239E"/>
    <w:rsid w:val="00C61F6F"/>
    <w:rsid w:val="00C65476"/>
    <w:rsid w:val="00C65AEC"/>
    <w:rsid w:val="00C675F6"/>
    <w:rsid w:val="00C75606"/>
    <w:rsid w:val="00C779A5"/>
    <w:rsid w:val="00C77BC9"/>
    <w:rsid w:val="00C871FA"/>
    <w:rsid w:val="00C87A79"/>
    <w:rsid w:val="00C9524B"/>
    <w:rsid w:val="00CA5C85"/>
    <w:rsid w:val="00CA7A04"/>
    <w:rsid w:val="00CC3AEA"/>
    <w:rsid w:val="00CD0589"/>
    <w:rsid w:val="00CD7617"/>
    <w:rsid w:val="00CF069E"/>
    <w:rsid w:val="00CF09CE"/>
    <w:rsid w:val="00CF58A3"/>
    <w:rsid w:val="00D011B8"/>
    <w:rsid w:val="00D029D5"/>
    <w:rsid w:val="00D053E9"/>
    <w:rsid w:val="00D055C5"/>
    <w:rsid w:val="00D11BB6"/>
    <w:rsid w:val="00D12B0F"/>
    <w:rsid w:val="00D171D8"/>
    <w:rsid w:val="00D215E4"/>
    <w:rsid w:val="00D33C74"/>
    <w:rsid w:val="00D43FB1"/>
    <w:rsid w:val="00D4538F"/>
    <w:rsid w:val="00D469E5"/>
    <w:rsid w:val="00D47AEE"/>
    <w:rsid w:val="00D47F87"/>
    <w:rsid w:val="00D55AA3"/>
    <w:rsid w:val="00D57D7C"/>
    <w:rsid w:val="00D62710"/>
    <w:rsid w:val="00D637C5"/>
    <w:rsid w:val="00D63CDA"/>
    <w:rsid w:val="00D65EF1"/>
    <w:rsid w:val="00D6695D"/>
    <w:rsid w:val="00D70148"/>
    <w:rsid w:val="00D72D72"/>
    <w:rsid w:val="00D76907"/>
    <w:rsid w:val="00D84EFC"/>
    <w:rsid w:val="00D85401"/>
    <w:rsid w:val="00DA10EC"/>
    <w:rsid w:val="00DA1FDE"/>
    <w:rsid w:val="00DA7057"/>
    <w:rsid w:val="00DA7299"/>
    <w:rsid w:val="00DB551C"/>
    <w:rsid w:val="00DC5C7C"/>
    <w:rsid w:val="00DC60F7"/>
    <w:rsid w:val="00DC6E47"/>
    <w:rsid w:val="00DE4585"/>
    <w:rsid w:val="00DF1FCB"/>
    <w:rsid w:val="00DF5032"/>
    <w:rsid w:val="00E006DF"/>
    <w:rsid w:val="00E0519F"/>
    <w:rsid w:val="00E07C40"/>
    <w:rsid w:val="00E35A78"/>
    <w:rsid w:val="00E4073C"/>
    <w:rsid w:val="00E5015D"/>
    <w:rsid w:val="00E5089A"/>
    <w:rsid w:val="00E51C5A"/>
    <w:rsid w:val="00E63EA6"/>
    <w:rsid w:val="00E85E0A"/>
    <w:rsid w:val="00EA143D"/>
    <w:rsid w:val="00EA414F"/>
    <w:rsid w:val="00EB4CC0"/>
    <w:rsid w:val="00EB6E43"/>
    <w:rsid w:val="00EB7FEF"/>
    <w:rsid w:val="00EC0944"/>
    <w:rsid w:val="00EC2A98"/>
    <w:rsid w:val="00EC35F3"/>
    <w:rsid w:val="00EC4723"/>
    <w:rsid w:val="00EC499A"/>
    <w:rsid w:val="00ED242A"/>
    <w:rsid w:val="00EE2329"/>
    <w:rsid w:val="00EE52AB"/>
    <w:rsid w:val="00EF1CDE"/>
    <w:rsid w:val="00EF26F5"/>
    <w:rsid w:val="00EF6728"/>
    <w:rsid w:val="00EF6E56"/>
    <w:rsid w:val="00F05602"/>
    <w:rsid w:val="00F0699F"/>
    <w:rsid w:val="00F13CBB"/>
    <w:rsid w:val="00F144F1"/>
    <w:rsid w:val="00F2368B"/>
    <w:rsid w:val="00F242FC"/>
    <w:rsid w:val="00F2748A"/>
    <w:rsid w:val="00F435AA"/>
    <w:rsid w:val="00F45995"/>
    <w:rsid w:val="00F55F10"/>
    <w:rsid w:val="00F70E1F"/>
    <w:rsid w:val="00FC29E6"/>
    <w:rsid w:val="00FC3D53"/>
    <w:rsid w:val="00FD00E1"/>
    <w:rsid w:val="00FD01D4"/>
    <w:rsid w:val="00FE420E"/>
    <w:rsid w:val="01456EBC"/>
    <w:rsid w:val="086A1506"/>
    <w:rsid w:val="0F550327"/>
    <w:rsid w:val="179A409D"/>
    <w:rsid w:val="18EF207E"/>
    <w:rsid w:val="1907535A"/>
    <w:rsid w:val="1D1F588F"/>
    <w:rsid w:val="1E107690"/>
    <w:rsid w:val="20641DE6"/>
    <w:rsid w:val="238A168D"/>
    <w:rsid w:val="25850CA1"/>
    <w:rsid w:val="2BE84BD9"/>
    <w:rsid w:val="2CD607B9"/>
    <w:rsid w:val="2D0150C0"/>
    <w:rsid w:val="2F905392"/>
    <w:rsid w:val="3422484B"/>
    <w:rsid w:val="3B792BE5"/>
    <w:rsid w:val="3F2E6AA9"/>
    <w:rsid w:val="3FF743F8"/>
    <w:rsid w:val="42AE10A2"/>
    <w:rsid w:val="46063963"/>
    <w:rsid w:val="461A2CF4"/>
    <w:rsid w:val="4BDD1F6B"/>
    <w:rsid w:val="4D234093"/>
    <w:rsid w:val="4DE91684"/>
    <w:rsid w:val="4FBA646A"/>
    <w:rsid w:val="5169032C"/>
    <w:rsid w:val="52BD33C1"/>
    <w:rsid w:val="57CC52AA"/>
    <w:rsid w:val="59354AEF"/>
    <w:rsid w:val="5A785B26"/>
    <w:rsid w:val="60BF4C13"/>
    <w:rsid w:val="63226329"/>
    <w:rsid w:val="65C26597"/>
    <w:rsid w:val="67842E5F"/>
    <w:rsid w:val="6B137E4B"/>
    <w:rsid w:val="6F924571"/>
    <w:rsid w:val="70CE4457"/>
    <w:rsid w:val="74771DB1"/>
    <w:rsid w:val="7DEE3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kern w:val="2"/>
      <w:sz w:val="28"/>
      <w:szCs w:val="22"/>
      <w:lang w:val="en-US" w:eastAsia="zh-CN" w:bidi="ar-SA"/>
    </w:rPr>
  </w:style>
  <w:style w:type="paragraph" w:styleId="2">
    <w:name w:val="heading 1"/>
    <w:basedOn w:val="1"/>
    <w:next w:val="1"/>
    <w:link w:val="23"/>
    <w:qFormat/>
    <w:uiPriority w:val="0"/>
    <w:pPr>
      <w:keepNext/>
      <w:keepLines/>
      <w:pageBreakBefore/>
      <w:spacing w:before="340" w:after="240"/>
      <w:jc w:val="center"/>
      <w:outlineLvl w:val="0"/>
    </w:pPr>
    <w:rPr>
      <w:rFonts w:hAnsi="Times New Roman"/>
      <w:bCs/>
      <w:kern w:val="44"/>
      <w:sz w:val="36"/>
      <w:szCs w:val="44"/>
    </w:rPr>
  </w:style>
  <w:style w:type="paragraph" w:styleId="3">
    <w:name w:val="heading 2"/>
    <w:basedOn w:val="1"/>
    <w:next w:val="1"/>
    <w:link w:val="24"/>
    <w:qFormat/>
    <w:uiPriority w:val="0"/>
    <w:pPr>
      <w:keepNext/>
      <w:widowControl/>
      <w:spacing w:before="240" w:after="120"/>
      <w:jc w:val="left"/>
      <w:outlineLvl w:val="1"/>
    </w:pPr>
    <w:rPr>
      <w:rFonts w:hAnsi="宋体" w:eastAsia="黑体"/>
      <w:bCs/>
      <w:sz w:val="32"/>
      <w:szCs w:val="26"/>
      <w:lang w:eastAsia="en-US" w:bidi="en-US"/>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Calibri"/>
      <w:sz w:val="21"/>
    </w:rPr>
  </w:style>
  <w:style w:type="paragraph" w:styleId="5">
    <w:name w:val="Normal Indent"/>
    <w:basedOn w:val="1"/>
    <w:qFormat/>
    <w:uiPriority w:val="0"/>
    <w:pPr>
      <w:adjustRightInd w:val="0"/>
      <w:snapToGrid w:val="0"/>
      <w:spacing w:line="400" w:lineRule="exact"/>
      <w:jc w:val="left"/>
    </w:pPr>
    <w:rPr>
      <w:rFonts w:ascii="Times New Roman" w:hAnsi="Times New Roman" w:eastAsia="楷体_GB2312" w:cs="Arial"/>
      <w:snapToGrid w:val="0"/>
      <w:kern w:val="0"/>
      <w:sz w:val="21"/>
      <w:szCs w:val="24"/>
    </w:rPr>
  </w:style>
  <w:style w:type="paragraph" w:styleId="6">
    <w:name w:val="caption"/>
    <w:basedOn w:val="1"/>
    <w:next w:val="1"/>
    <w:unhideWhenUsed/>
    <w:qFormat/>
    <w:uiPriority w:val="35"/>
    <w:rPr>
      <w:rFonts w:ascii="Calibri Light" w:hAnsi="Calibri Light" w:eastAsia="黑体"/>
      <w:sz w:val="20"/>
      <w:szCs w:val="20"/>
    </w:rPr>
  </w:style>
  <w:style w:type="paragraph" w:styleId="7">
    <w:name w:val="toc 5"/>
    <w:basedOn w:val="1"/>
    <w:next w:val="1"/>
    <w:unhideWhenUsed/>
    <w:qFormat/>
    <w:uiPriority w:val="39"/>
    <w:pPr>
      <w:ind w:left="1680" w:leftChars="800"/>
    </w:pPr>
    <w:rPr>
      <w:rFonts w:ascii="Calibri"/>
      <w:sz w:val="21"/>
    </w:rPr>
  </w:style>
  <w:style w:type="paragraph" w:styleId="8">
    <w:name w:val="toc 3"/>
    <w:basedOn w:val="1"/>
    <w:next w:val="1"/>
    <w:unhideWhenUsed/>
    <w:qFormat/>
    <w:uiPriority w:val="39"/>
    <w:pPr>
      <w:ind w:left="840" w:leftChars="400"/>
    </w:pPr>
    <w:rPr>
      <w:rFonts w:ascii="Calibri"/>
      <w:sz w:val="21"/>
    </w:rPr>
  </w:style>
  <w:style w:type="paragraph" w:styleId="9">
    <w:name w:val="toc 8"/>
    <w:basedOn w:val="1"/>
    <w:next w:val="1"/>
    <w:unhideWhenUsed/>
    <w:qFormat/>
    <w:uiPriority w:val="39"/>
    <w:pPr>
      <w:ind w:left="2940" w:leftChars="1400"/>
    </w:pPr>
    <w:rPr>
      <w:rFonts w:ascii="Calibri"/>
      <w:sz w:val="21"/>
    </w:rPr>
  </w:style>
  <w:style w:type="paragraph" w:styleId="10">
    <w:name w:val="Balloon Text"/>
    <w:basedOn w:val="1"/>
    <w:link w:val="35"/>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rPr>
      <w:rFonts w:ascii="Calibri"/>
      <w:sz w:val="21"/>
    </w:rPr>
  </w:style>
  <w:style w:type="paragraph" w:styleId="15">
    <w:name w:val="toc 6"/>
    <w:basedOn w:val="1"/>
    <w:next w:val="1"/>
    <w:unhideWhenUsed/>
    <w:qFormat/>
    <w:uiPriority w:val="39"/>
    <w:pPr>
      <w:ind w:left="2100" w:leftChars="1000"/>
    </w:pPr>
    <w:rPr>
      <w:rFonts w:ascii="Calibri"/>
      <w:sz w:val="21"/>
    </w:r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rPr>
      <w:rFonts w:ascii="Calibri"/>
      <w:sz w:val="21"/>
    </w:rPr>
  </w:style>
  <w:style w:type="table" w:styleId="19">
    <w:name w:val="Table Grid"/>
    <w:basedOn w:val="1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0563C1"/>
      <w:u w:val="single"/>
    </w:rPr>
  </w:style>
  <w:style w:type="paragraph" w:customStyle="1" w:styleId="22">
    <w:name w:val="列出段落1"/>
    <w:basedOn w:val="1"/>
    <w:qFormat/>
    <w:uiPriority w:val="34"/>
    <w:pPr>
      <w:ind w:firstLine="420" w:firstLineChars="200"/>
    </w:pPr>
  </w:style>
  <w:style w:type="character" w:customStyle="1" w:styleId="23">
    <w:name w:val="标题 1 字符"/>
    <w:link w:val="2"/>
    <w:qFormat/>
    <w:uiPriority w:val="0"/>
    <w:rPr>
      <w:rFonts w:ascii="宋体" w:hAnsi="Times New Roman"/>
      <w:bCs/>
      <w:kern w:val="44"/>
      <w:sz w:val="36"/>
      <w:szCs w:val="44"/>
    </w:rPr>
  </w:style>
  <w:style w:type="character" w:customStyle="1" w:styleId="24">
    <w:name w:val="标题 2 字符"/>
    <w:link w:val="3"/>
    <w:qFormat/>
    <w:uiPriority w:val="0"/>
    <w:rPr>
      <w:rFonts w:ascii="宋体" w:hAnsi="宋体" w:eastAsia="黑体"/>
      <w:bCs/>
      <w:kern w:val="2"/>
      <w:sz w:val="32"/>
      <w:szCs w:val="26"/>
      <w:lang w:eastAsia="en-US" w:bidi="en-US"/>
    </w:rPr>
  </w:style>
  <w:style w:type="character" w:customStyle="1" w:styleId="25">
    <w:name w:val="页眉 字符"/>
    <w:link w:val="12"/>
    <w:qFormat/>
    <w:uiPriority w:val="99"/>
    <w:rPr>
      <w:rFonts w:ascii="宋体" w:eastAsia="宋体"/>
      <w:sz w:val="18"/>
      <w:szCs w:val="18"/>
    </w:rPr>
  </w:style>
  <w:style w:type="character" w:customStyle="1" w:styleId="26">
    <w:name w:val="页脚 字符"/>
    <w:link w:val="11"/>
    <w:qFormat/>
    <w:uiPriority w:val="99"/>
    <w:rPr>
      <w:rFonts w:ascii="宋体" w:eastAsia="宋体"/>
      <w:sz w:val="18"/>
      <w:szCs w:val="18"/>
    </w:rPr>
  </w:style>
  <w:style w:type="paragraph" w:customStyle="1" w:styleId="27">
    <w:name w:val="TOC 标题1"/>
    <w:basedOn w:val="2"/>
    <w:next w:val="1"/>
    <w:unhideWhenUsed/>
    <w:qFormat/>
    <w:uiPriority w:val="39"/>
    <w:pPr>
      <w:widowControl/>
      <w:spacing w:before="240" w:after="0" w:line="259" w:lineRule="auto"/>
      <w:jc w:val="left"/>
      <w:outlineLvl w:val="9"/>
    </w:pPr>
    <w:rPr>
      <w:rFonts w:ascii="Calibri Light" w:hAnsi="Calibri Light"/>
      <w:bCs w:val="0"/>
      <w:color w:val="2E74B5"/>
      <w:kern w:val="0"/>
      <w:sz w:val="32"/>
      <w:szCs w:val="32"/>
    </w:rPr>
  </w:style>
  <w:style w:type="paragraph" w:customStyle="1" w:styleId="28">
    <w:name w:val="修订1"/>
    <w:hidden/>
    <w:semiHidden/>
    <w:qFormat/>
    <w:uiPriority w:val="99"/>
    <w:rPr>
      <w:rFonts w:ascii="宋体" w:hAnsi="Calibri" w:eastAsia="宋体" w:cs="Times New Roman"/>
      <w:kern w:val="2"/>
      <w:sz w:val="28"/>
      <w:szCs w:val="22"/>
      <w:lang w:val="en-US" w:eastAsia="zh-CN" w:bidi="ar-SA"/>
    </w:rPr>
  </w:style>
  <w:style w:type="paragraph" w:customStyle="1" w:styleId="29">
    <w:name w:val="表格标题"/>
    <w:basedOn w:val="1"/>
    <w:qFormat/>
    <w:uiPriority w:val="0"/>
    <w:pPr>
      <w:tabs>
        <w:tab w:val="left" w:pos="-108"/>
      </w:tabs>
      <w:spacing w:line="0" w:lineRule="atLeast"/>
      <w:jc w:val="center"/>
    </w:pPr>
    <w:rPr>
      <w:rFonts w:ascii="黑体" w:hAnsi="宋体" w:eastAsia="黑体"/>
      <w:b/>
      <w:snapToGrid w:val="0"/>
      <w:spacing w:val="-6"/>
      <w:kern w:val="0"/>
      <w:sz w:val="18"/>
      <w:szCs w:val="18"/>
    </w:rPr>
  </w:style>
  <w:style w:type="paragraph" w:customStyle="1" w:styleId="30">
    <w:name w:val="表格文字左对齐"/>
    <w:basedOn w:val="1"/>
    <w:qFormat/>
    <w:uiPriority w:val="0"/>
    <w:pPr>
      <w:tabs>
        <w:tab w:val="left" w:pos="-108"/>
      </w:tabs>
      <w:adjustRightInd w:val="0"/>
      <w:snapToGrid w:val="0"/>
      <w:jc w:val="center"/>
    </w:pPr>
    <w:rPr>
      <w:rFonts w:ascii="仿宋_GB2312" w:hAnsi="宋体" w:eastAsia="仿宋_GB2312" w:cs="Arial"/>
      <w:snapToGrid w:val="0"/>
      <w:kern w:val="0"/>
      <w:sz w:val="18"/>
      <w:szCs w:val="18"/>
      <w:u w:val="single"/>
    </w:rPr>
  </w:style>
  <w:style w:type="paragraph" w:customStyle="1" w:styleId="31">
    <w:name w:val="a0"/>
    <w:basedOn w:val="1"/>
    <w:qFormat/>
    <w:uiPriority w:val="0"/>
    <w:pPr>
      <w:widowControl/>
      <w:spacing w:before="100" w:beforeAutospacing="1" w:after="100" w:afterAutospacing="1"/>
      <w:jc w:val="left"/>
    </w:pPr>
    <w:rPr>
      <w:rFonts w:hAnsi="宋体" w:cs="宋体"/>
      <w:color w:val="000000"/>
      <w:kern w:val="0"/>
      <w:sz w:val="24"/>
      <w:szCs w:val="24"/>
    </w:rPr>
  </w:style>
  <w:style w:type="paragraph" w:customStyle="1" w:styleId="32">
    <w:name w:val="a"/>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character" w:customStyle="1" w:styleId="33">
    <w:name w:val="占位符文本1"/>
    <w:basedOn w:val="20"/>
    <w:semiHidden/>
    <w:qFormat/>
    <w:uiPriority w:val="99"/>
    <w:rPr>
      <w:color w:val="808080"/>
    </w:rPr>
  </w:style>
  <w:style w:type="paragraph" w:customStyle="1" w:styleId="34">
    <w:name w:val="列出段落2"/>
    <w:basedOn w:val="1"/>
    <w:qFormat/>
    <w:uiPriority w:val="99"/>
    <w:pPr>
      <w:ind w:firstLine="420" w:firstLineChars="200"/>
    </w:pPr>
  </w:style>
  <w:style w:type="character" w:customStyle="1" w:styleId="35">
    <w:name w:val="批注框文本 字符"/>
    <w:basedOn w:val="20"/>
    <w:link w:val="10"/>
    <w:semiHidden/>
    <w:qFormat/>
    <w:uiPriority w:val="99"/>
    <w:rPr>
      <w:rFonts w:ascii="宋体"/>
      <w:kern w:val="2"/>
      <w:sz w:val="18"/>
      <w:szCs w:val="18"/>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9BDEF-94A3-4BF0-945A-E3AB37225A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26380</Words>
  <Characters>28144</Characters>
  <Lines>236</Lines>
  <Paragraphs>66</Paragraphs>
  <TotalTime>5</TotalTime>
  <ScaleCrop>false</ScaleCrop>
  <LinksUpToDate>false</LinksUpToDate>
  <CharactersWithSpaces>28565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2017-12-06T00:50:00Z</dcterms:created>
  <dc:creator>Hover Chen</dc:creator>
  <cp:lastModifiedBy>清风</cp:lastModifiedBy>
  <cp:lastPrinted>2018-08-29T08:55:00Z</cp:lastPrinted>
  <dcterms:modified xsi:type="dcterms:W3CDTF">2023-10-16T01:38:28Z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B3CC326D06084C1C9B3E216BEBB2754F_12</vt:lpwstr>
  </property>
</Properties>
</file>