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000" w:type="pct"/>
        <w:tblInd w:w="0" w:type="dxa"/>
        <w:tblLayout w:type="autofit"/>
        <w:tblCellMar>
          <w:top w:w="0" w:type="dxa"/>
          <w:left w:w="108" w:type="dxa"/>
          <w:bottom w:w="0" w:type="dxa"/>
          <w:right w:w="108" w:type="dxa"/>
        </w:tblCellMar>
      </w:tblPr>
      <w:tblGrid>
        <w:gridCol w:w="511"/>
        <w:gridCol w:w="1024"/>
        <w:gridCol w:w="1249"/>
        <w:gridCol w:w="1190"/>
        <w:gridCol w:w="1040"/>
        <w:gridCol w:w="1716"/>
        <w:gridCol w:w="1792"/>
      </w:tblGrid>
      <w:tr>
        <w:tblPrEx>
          <w:tblCellMar>
            <w:top w:w="0" w:type="dxa"/>
            <w:left w:w="108" w:type="dxa"/>
            <w:bottom w:w="0" w:type="dxa"/>
            <w:right w:w="108" w:type="dxa"/>
          </w:tblCellMar>
        </w:tblPrEx>
        <w:trPr>
          <w:trHeight w:val="351" w:hRule="atLeast"/>
        </w:trPr>
        <w:tc>
          <w:tcPr>
            <w:tcW w:w="901" w:type="pct"/>
            <w:gridSpan w:val="2"/>
            <w:tcBorders>
              <w:top w:val="nil"/>
              <w:left w:val="nil"/>
              <w:bottom w:val="nil"/>
              <w:right w:val="nil"/>
            </w:tcBorders>
            <w:shd w:val="clear" w:color="000000" w:fill="FFFFFF"/>
            <w:noWrap/>
            <w:vAlign w:val="bottom"/>
          </w:tcPr>
          <w:p>
            <w:pPr>
              <w:widowControl/>
              <w:jc w:val="left"/>
              <w:rPr>
                <w:rFonts w:ascii="黑体" w:hAnsi="黑体" w:eastAsia="黑体" w:cs="Arial"/>
                <w:color w:val="auto"/>
                <w:kern w:val="0"/>
                <w:sz w:val="28"/>
                <w:szCs w:val="28"/>
                <w:highlight w:val="none"/>
              </w:rPr>
            </w:pPr>
            <w:bookmarkStart w:id="1" w:name="_GoBack"/>
            <w:bookmarkStart w:id="0" w:name="RANGE!A1:G33"/>
            <w:r>
              <w:rPr>
                <w:rFonts w:hint="eastAsia" w:ascii="黑体" w:hAnsi="黑体" w:eastAsia="黑体" w:cs="Arial"/>
                <w:color w:val="auto"/>
                <w:kern w:val="0"/>
                <w:sz w:val="28"/>
                <w:szCs w:val="28"/>
                <w:highlight w:val="none"/>
              </w:rPr>
              <w:t>附件2</w:t>
            </w:r>
            <w:bookmarkEnd w:id="0"/>
          </w:p>
        </w:tc>
        <w:tc>
          <w:tcPr>
            <w:tcW w:w="733" w:type="pct"/>
            <w:tcBorders>
              <w:top w:val="nil"/>
              <w:left w:val="nil"/>
              <w:bottom w:val="nil"/>
              <w:right w:val="nil"/>
            </w:tcBorders>
            <w:shd w:val="clear" w:color="000000" w:fill="FFFFFF"/>
            <w:noWrap/>
            <w:vAlign w:val="bottom"/>
          </w:tcPr>
          <w:p>
            <w:pPr>
              <w:widowControl/>
              <w:jc w:val="left"/>
              <w:rPr>
                <w:rFonts w:ascii="宋体" w:hAnsi="宋体" w:eastAsia="宋体" w:cs="Arial"/>
                <w:color w:val="auto"/>
                <w:kern w:val="0"/>
                <w:sz w:val="18"/>
                <w:szCs w:val="18"/>
                <w:highlight w:val="none"/>
              </w:rPr>
            </w:pPr>
            <w:r>
              <w:rPr>
                <w:rFonts w:hint="eastAsia" w:ascii="宋体" w:hAnsi="宋体" w:eastAsia="宋体" w:cs="Arial"/>
                <w:color w:val="auto"/>
                <w:kern w:val="0"/>
                <w:sz w:val="18"/>
                <w:szCs w:val="18"/>
                <w:highlight w:val="none"/>
              </w:rPr>
              <w:t>　</w:t>
            </w:r>
          </w:p>
        </w:tc>
        <w:tc>
          <w:tcPr>
            <w:tcW w:w="698" w:type="pct"/>
            <w:tcBorders>
              <w:top w:val="nil"/>
              <w:left w:val="nil"/>
              <w:bottom w:val="nil"/>
              <w:right w:val="nil"/>
            </w:tcBorders>
            <w:shd w:val="clear" w:color="000000" w:fill="FFFFFF"/>
            <w:noWrap/>
            <w:vAlign w:val="bottom"/>
          </w:tcPr>
          <w:p>
            <w:pPr>
              <w:widowControl/>
              <w:jc w:val="left"/>
              <w:rPr>
                <w:rFonts w:ascii="宋体" w:hAnsi="宋体" w:eastAsia="宋体" w:cs="Arial"/>
                <w:color w:val="auto"/>
                <w:kern w:val="0"/>
                <w:sz w:val="18"/>
                <w:szCs w:val="18"/>
                <w:highlight w:val="none"/>
              </w:rPr>
            </w:pPr>
            <w:r>
              <w:rPr>
                <w:rFonts w:hint="eastAsia" w:ascii="宋体" w:hAnsi="宋体" w:eastAsia="宋体" w:cs="Arial"/>
                <w:color w:val="auto"/>
                <w:kern w:val="0"/>
                <w:sz w:val="18"/>
                <w:szCs w:val="18"/>
                <w:highlight w:val="none"/>
              </w:rPr>
              <w:t>　</w:t>
            </w:r>
          </w:p>
        </w:tc>
        <w:tc>
          <w:tcPr>
            <w:tcW w:w="610" w:type="pct"/>
            <w:tcBorders>
              <w:top w:val="nil"/>
              <w:left w:val="nil"/>
              <w:bottom w:val="nil"/>
              <w:right w:val="nil"/>
            </w:tcBorders>
            <w:shd w:val="clear" w:color="000000" w:fill="FFFFFF"/>
            <w:noWrap/>
            <w:vAlign w:val="bottom"/>
          </w:tcPr>
          <w:p>
            <w:pPr>
              <w:widowControl/>
              <w:jc w:val="left"/>
              <w:rPr>
                <w:rFonts w:ascii="宋体" w:hAnsi="宋体" w:eastAsia="宋体" w:cs="Arial"/>
                <w:color w:val="auto"/>
                <w:kern w:val="0"/>
                <w:sz w:val="18"/>
                <w:szCs w:val="18"/>
                <w:highlight w:val="none"/>
              </w:rPr>
            </w:pPr>
            <w:r>
              <w:rPr>
                <w:rFonts w:hint="eastAsia" w:ascii="宋体" w:hAnsi="宋体" w:eastAsia="宋体" w:cs="Arial"/>
                <w:color w:val="auto"/>
                <w:kern w:val="0"/>
                <w:sz w:val="18"/>
                <w:szCs w:val="18"/>
                <w:highlight w:val="none"/>
              </w:rPr>
              <w:t>　</w:t>
            </w:r>
          </w:p>
        </w:tc>
        <w:tc>
          <w:tcPr>
            <w:tcW w:w="1007" w:type="pct"/>
            <w:tcBorders>
              <w:top w:val="nil"/>
              <w:left w:val="nil"/>
              <w:bottom w:val="nil"/>
              <w:right w:val="nil"/>
            </w:tcBorders>
            <w:shd w:val="clear" w:color="000000" w:fill="FFFFFF"/>
            <w:noWrap/>
            <w:vAlign w:val="bottom"/>
          </w:tcPr>
          <w:p>
            <w:pPr>
              <w:widowControl/>
              <w:jc w:val="left"/>
              <w:rPr>
                <w:rFonts w:ascii="宋体" w:hAnsi="宋体" w:eastAsia="宋体" w:cs="Arial"/>
                <w:color w:val="auto"/>
                <w:kern w:val="0"/>
                <w:sz w:val="18"/>
                <w:szCs w:val="18"/>
                <w:highlight w:val="none"/>
              </w:rPr>
            </w:pPr>
            <w:r>
              <w:rPr>
                <w:rFonts w:hint="eastAsia" w:ascii="宋体" w:hAnsi="宋体" w:eastAsia="宋体" w:cs="Arial"/>
                <w:color w:val="auto"/>
                <w:kern w:val="0"/>
                <w:sz w:val="18"/>
                <w:szCs w:val="18"/>
                <w:highlight w:val="none"/>
              </w:rPr>
              <w:t>　</w:t>
            </w:r>
          </w:p>
        </w:tc>
        <w:tc>
          <w:tcPr>
            <w:tcW w:w="1051" w:type="pct"/>
            <w:tcBorders>
              <w:top w:val="nil"/>
              <w:left w:val="nil"/>
              <w:bottom w:val="nil"/>
              <w:right w:val="nil"/>
            </w:tcBorders>
            <w:shd w:val="clear" w:color="000000" w:fill="FFFFFF"/>
            <w:noWrap/>
            <w:vAlign w:val="bottom"/>
          </w:tcPr>
          <w:p>
            <w:pPr>
              <w:widowControl/>
              <w:jc w:val="left"/>
              <w:rPr>
                <w:rFonts w:ascii="宋体" w:hAnsi="宋体" w:eastAsia="宋体" w:cs="Arial"/>
                <w:color w:val="auto"/>
                <w:kern w:val="0"/>
                <w:sz w:val="18"/>
                <w:szCs w:val="18"/>
                <w:highlight w:val="none"/>
              </w:rPr>
            </w:pPr>
            <w:r>
              <w:rPr>
                <w:rFonts w:hint="eastAsia" w:ascii="宋体" w:hAnsi="宋体" w:eastAsia="宋体" w:cs="Arial"/>
                <w:color w:val="auto"/>
                <w:kern w:val="0"/>
                <w:sz w:val="18"/>
                <w:szCs w:val="18"/>
                <w:highlight w:val="none"/>
              </w:rPr>
              <w:t>　</w:t>
            </w:r>
          </w:p>
        </w:tc>
      </w:tr>
      <w:tr>
        <w:tblPrEx>
          <w:tblCellMar>
            <w:top w:w="0" w:type="dxa"/>
            <w:left w:w="108" w:type="dxa"/>
            <w:bottom w:w="0" w:type="dxa"/>
            <w:right w:w="108" w:type="dxa"/>
          </w:tblCellMar>
        </w:tblPrEx>
        <w:trPr>
          <w:trHeight w:val="881" w:hRule="atLeast"/>
        </w:trPr>
        <w:tc>
          <w:tcPr>
            <w:tcW w:w="5000" w:type="pct"/>
            <w:gridSpan w:val="7"/>
            <w:tcBorders>
              <w:top w:val="nil"/>
              <w:left w:val="nil"/>
              <w:bottom w:val="single" w:color="auto" w:sz="4" w:space="0"/>
              <w:right w:val="nil"/>
            </w:tcBorders>
            <w:shd w:val="clear" w:color="000000" w:fill="FFFFFF"/>
            <w:noWrap/>
            <w:vAlign w:val="center"/>
          </w:tcPr>
          <w:p>
            <w:pPr>
              <w:widowControl/>
              <w:jc w:val="center"/>
              <w:rPr>
                <w:rFonts w:ascii="黑体" w:hAnsi="黑体" w:eastAsia="黑体" w:cs="Arial"/>
                <w:color w:val="auto"/>
                <w:kern w:val="0"/>
                <w:sz w:val="44"/>
                <w:szCs w:val="44"/>
                <w:highlight w:val="none"/>
              </w:rPr>
            </w:pPr>
            <w:r>
              <w:rPr>
                <w:rFonts w:hint="eastAsia" w:ascii="黑体" w:hAnsi="黑体" w:eastAsia="黑体" w:cs="Arial"/>
                <w:color w:val="auto"/>
                <w:kern w:val="0"/>
                <w:sz w:val="44"/>
                <w:szCs w:val="44"/>
                <w:highlight w:val="none"/>
              </w:rPr>
              <w:t>专项债券项目绩效目标表</w:t>
            </w:r>
          </w:p>
        </w:tc>
      </w:tr>
      <w:tr>
        <w:tblPrEx>
          <w:tblCellMar>
            <w:top w:w="0" w:type="dxa"/>
            <w:left w:w="108" w:type="dxa"/>
            <w:bottom w:w="0" w:type="dxa"/>
            <w:right w:w="108" w:type="dxa"/>
          </w:tblCellMar>
        </w:tblPrEx>
        <w:trPr>
          <w:trHeight w:val="439" w:hRule="atLeast"/>
        </w:trPr>
        <w:tc>
          <w:tcPr>
            <w:tcW w:w="9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项目名称</w:t>
            </w:r>
          </w:p>
        </w:tc>
        <w:tc>
          <w:tcPr>
            <w:tcW w:w="409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吴川市副中心城镇振文镇基础设施扩容提质升级改造项目</w:t>
            </w:r>
          </w:p>
        </w:tc>
      </w:tr>
      <w:tr>
        <w:tblPrEx>
          <w:tblCellMar>
            <w:top w:w="0" w:type="dxa"/>
            <w:left w:w="108" w:type="dxa"/>
            <w:bottom w:w="0" w:type="dxa"/>
            <w:right w:w="108" w:type="dxa"/>
          </w:tblCellMar>
        </w:tblPrEx>
        <w:trPr>
          <w:trHeight w:val="439" w:hRule="atLeast"/>
        </w:trPr>
        <w:tc>
          <w:tcPr>
            <w:tcW w:w="9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主管部门</w:t>
            </w:r>
          </w:p>
        </w:tc>
        <w:tc>
          <w:tcPr>
            <w:tcW w:w="143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吴川市振文镇人民政府</w:t>
            </w:r>
          </w:p>
        </w:tc>
        <w:tc>
          <w:tcPr>
            <w:tcW w:w="6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实施单位</w:t>
            </w:r>
          </w:p>
        </w:tc>
        <w:tc>
          <w:tcPr>
            <w:tcW w:w="20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吴川市振文镇人民政府</w:t>
            </w:r>
          </w:p>
        </w:tc>
      </w:tr>
      <w:tr>
        <w:tblPrEx>
          <w:tblCellMar>
            <w:top w:w="0" w:type="dxa"/>
            <w:left w:w="108" w:type="dxa"/>
            <w:bottom w:w="0" w:type="dxa"/>
            <w:right w:w="108" w:type="dxa"/>
          </w:tblCellMar>
        </w:tblPrEx>
        <w:trPr>
          <w:trHeight w:val="481" w:hRule="atLeast"/>
        </w:trPr>
        <w:tc>
          <w:tcPr>
            <w:tcW w:w="9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项目总投资</w:t>
            </w:r>
          </w:p>
        </w:tc>
        <w:tc>
          <w:tcPr>
            <w:tcW w:w="143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Arial" w:eastAsia="仿宋_GB2312" w:cs="Arial"/>
                <w:color w:val="auto"/>
                <w:kern w:val="0"/>
                <w:sz w:val="24"/>
                <w:szCs w:val="24"/>
                <w:highlight w:val="none"/>
                <w:lang w:val="en-US" w:eastAsia="zh-CN"/>
              </w:rPr>
            </w:pPr>
            <w:r>
              <w:rPr>
                <w:rFonts w:hint="eastAsia" w:ascii="仿宋_GB2312" w:hAnsi="Arial" w:eastAsia="仿宋_GB2312" w:cs="Arial"/>
                <w:color w:val="auto"/>
                <w:kern w:val="0"/>
                <w:sz w:val="24"/>
                <w:szCs w:val="24"/>
                <w:highlight w:val="none"/>
                <w:lang w:val="en-US" w:eastAsia="zh-CN"/>
              </w:rPr>
              <w:t>9,000万元</w:t>
            </w:r>
          </w:p>
        </w:tc>
        <w:tc>
          <w:tcPr>
            <w:tcW w:w="6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投向领域</w:t>
            </w:r>
          </w:p>
        </w:tc>
        <w:tc>
          <w:tcPr>
            <w:tcW w:w="20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Arial" w:eastAsia="仿宋_GB2312" w:cs="Arial"/>
                <w:color w:val="auto"/>
                <w:kern w:val="0"/>
                <w:sz w:val="24"/>
                <w:szCs w:val="24"/>
                <w:highlight w:val="none"/>
                <w:lang w:eastAsia="zh-CN"/>
              </w:rPr>
            </w:pPr>
            <w:r>
              <w:rPr>
                <w:rFonts w:hint="eastAsia" w:ascii="仿宋_GB2312" w:hAnsi="Arial" w:cs="Arial"/>
                <w:color w:val="auto"/>
                <w:kern w:val="0"/>
                <w:sz w:val="24"/>
                <w:szCs w:val="24"/>
                <w:highlight w:val="none"/>
                <w:lang w:eastAsia="zh-CN"/>
              </w:rPr>
              <w:t>社会事业</w:t>
            </w:r>
          </w:p>
        </w:tc>
      </w:tr>
      <w:tr>
        <w:tblPrEx>
          <w:tblCellMar>
            <w:top w:w="0" w:type="dxa"/>
            <w:left w:w="108" w:type="dxa"/>
            <w:bottom w:w="0" w:type="dxa"/>
            <w:right w:w="108" w:type="dxa"/>
          </w:tblCellMar>
        </w:tblPrEx>
        <w:trPr>
          <w:trHeight w:val="481" w:hRule="atLeast"/>
        </w:trPr>
        <w:tc>
          <w:tcPr>
            <w:tcW w:w="9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专项债券资金需求</w:t>
            </w:r>
          </w:p>
        </w:tc>
        <w:tc>
          <w:tcPr>
            <w:tcW w:w="143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Arial" w:eastAsia="仿宋_GB2312" w:cs="Arial"/>
                <w:color w:val="auto"/>
                <w:kern w:val="0"/>
                <w:sz w:val="24"/>
                <w:szCs w:val="24"/>
                <w:highlight w:val="none"/>
                <w:lang w:val="en-US" w:eastAsia="zh-CN"/>
              </w:rPr>
            </w:pPr>
            <w:r>
              <w:rPr>
                <w:rFonts w:hint="eastAsia" w:ascii="仿宋_GB2312" w:hAnsi="Arial" w:eastAsia="仿宋_GB2312" w:cs="Arial"/>
                <w:color w:val="auto"/>
                <w:kern w:val="0"/>
                <w:sz w:val="24"/>
                <w:szCs w:val="24"/>
                <w:highlight w:val="none"/>
                <w:lang w:val="en-US" w:eastAsia="zh-CN"/>
              </w:rPr>
              <w:t>7,000万元</w:t>
            </w:r>
          </w:p>
        </w:tc>
        <w:tc>
          <w:tcPr>
            <w:tcW w:w="6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申请年限</w:t>
            </w:r>
          </w:p>
        </w:tc>
        <w:tc>
          <w:tcPr>
            <w:tcW w:w="2058"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Arial" w:eastAsia="仿宋_GB2312" w:cs="Arial"/>
                <w:color w:val="auto"/>
                <w:kern w:val="0"/>
                <w:sz w:val="24"/>
                <w:szCs w:val="24"/>
                <w:highlight w:val="none"/>
                <w:lang w:val="en-US" w:eastAsia="zh-CN"/>
              </w:rPr>
            </w:pPr>
            <w:r>
              <w:rPr>
                <w:rFonts w:hint="eastAsia" w:ascii="仿宋_GB2312" w:hAnsi="Arial" w:eastAsia="仿宋_GB2312" w:cs="Arial"/>
                <w:color w:val="auto"/>
                <w:kern w:val="0"/>
                <w:sz w:val="24"/>
                <w:szCs w:val="24"/>
                <w:highlight w:val="none"/>
                <w:lang w:val="en-US" w:eastAsia="zh-CN"/>
              </w:rPr>
              <w:t>20年</w:t>
            </w:r>
          </w:p>
        </w:tc>
      </w:tr>
      <w:tr>
        <w:tblPrEx>
          <w:tblCellMar>
            <w:top w:w="0" w:type="dxa"/>
            <w:left w:w="108" w:type="dxa"/>
            <w:bottom w:w="0" w:type="dxa"/>
            <w:right w:w="108" w:type="dxa"/>
          </w:tblCellMar>
        </w:tblPrEx>
        <w:trPr>
          <w:trHeight w:val="481" w:hRule="atLeast"/>
        </w:trPr>
        <w:tc>
          <w:tcPr>
            <w:tcW w:w="9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政策依据</w:t>
            </w:r>
          </w:p>
        </w:tc>
        <w:tc>
          <w:tcPr>
            <w:tcW w:w="409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《关于同意吴川市副中心城镇振文镇基础设施扩容提质升级改造项目可行性研究报告的批复》（吴发改投〔2021〕32号）</w:t>
            </w:r>
          </w:p>
        </w:tc>
      </w:tr>
      <w:tr>
        <w:tblPrEx>
          <w:tblCellMar>
            <w:top w:w="0" w:type="dxa"/>
            <w:left w:w="108" w:type="dxa"/>
            <w:bottom w:w="0" w:type="dxa"/>
            <w:right w:w="108" w:type="dxa"/>
          </w:tblCellMar>
        </w:tblPrEx>
        <w:trPr>
          <w:trHeight w:val="1080" w:hRule="atLeast"/>
        </w:trPr>
        <w:tc>
          <w:tcPr>
            <w:tcW w:w="9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建设内容</w:t>
            </w:r>
          </w:p>
        </w:tc>
        <w:tc>
          <w:tcPr>
            <w:tcW w:w="409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本项目主要包含三个方面的内容：</w:t>
            </w:r>
          </w:p>
          <w:p>
            <w:pPr>
              <w:widowControl/>
              <w:rPr>
                <w:rFonts w:hint="eastAsia"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（1）对梅塘公路（省道S544振文路段，约9.5公里）进行"白改黑"改造及提质升级。</w:t>
            </w:r>
          </w:p>
          <w:p>
            <w:pPr>
              <w:widowControl/>
              <w:rPr>
                <w:rFonts w:hint="eastAsia"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（2）对振文镇中心辖区的振城路（约2公里）进行"白改黑"改造及提质升级。</w:t>
            </w:r>
          </w:p>
          <w:p>
            <w:pPr>
              <w:widowControl/>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（3）以振文镇泗水革命烈士陵园为基础，建设革命历史博物馆、图书馆、文化活动中心等公共文化设施，建立红色革命教育基地，对通往泗水革命烈士陵园的道路进行改造升级。</w:t>
            </w:r>
          </w:p>
        </w:tc>
      </w:tr>
      <w:tr>
        <w:tblPrEx>
          <w:tblCellMar>
            <w:top w:w="0" w:type="dxa"/>
            <w:left w:w="108" w:type="dxa"/>
            <w:bottom w:w="0" w:type="dxa"/>
            <w:right w:w="108" w:type="dxa"/>
          </w:tblCellMar>
        </w:tblPrEx>
        <w:trPr>
          <w:trHeight w:val="1141" w:hRule="atLeast"/>
        </w:trPr>
        <w:tc>
          <w:tcPr>
            <w:tcW w:w="9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拟发债期限内项目收入</w:t>
            </w:r>
          </w:p>
        </w:tc>
        <w:tc>
          <w:tcPr>
            <w:tcW w:w="409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hint="eastAsia" w:ascii="仿宋_GB2312" w:hAnsi="Arial" w:eastAsia="仿宋_GB2312" w:cs="Arial"/>
                <w:color w:val="auto"/>
                <w:kern w:val="0"/>
                <w:sz w:val="24"/>
                <w:szCs w:val="24"/>
                <w:highlight w:val="none"/>
                <w:lang w:val="en-US" w:eastAsia="zh-CN"/>
              </w:rPr>
            </w:pPr>
            <w:r>
              <w:rPr>
                <w:rFonts w:hint="eastAsia" w:ascii="仿宋_GB2312" w:hAnsi="Arial" w:eastAsia="仿宋_GB2312" w:cs="Arial"/>
                <w:color w:val="auto"/>
                <w:kern w:val="0"/>
                <w:sz w:val="24"/>
                <w:szCs w:val="24"/>
                <w:highlight w:val="none"/>
                <w:lang w:val="en-US" w:eastAsia="zh-CN"/>
              </w:rPr>
              <w:t>24,697.9</w:t>
            </w:r>
            <w:r>
              <w:rPr>
                <w:rFonts w:hint="eastAsia" w:ascii="仿宋_GB2312" w:hAnsi="Arial" w:eastAsia="仿宋_GB2312" w:cs="Arial"/>
                <w:color w:val="auto"/>
                <w:kern w:val="0"/>
                <w:sz w:val="24"/>
                <w:szCs w:val="24"/>
                <w:highlight w:val="none"/>
              </w:rPr>
              <w:t>万元，其中：1.停车场收费收入，拟发债期限内收入合计</w:t>
            </w:r>
            <w:r>
              <w:rPr>
                <w:rFonts w:hint="eastAsia" w:ascii="仿宋_GB2312" w:hAnsi="Arial" w:eastAsia="仿宋_GB2312" w:cs="Arial"/>
                <w:color w:val="auto"/>
                <w:kern w:val="0"/>
                <w:sz w:val="24"/>
                <w:szCs w:val="24"/>
                <w:highlight w:val="none"/>
                <w:lang w:val="en-US" w:eastAsia="zh-CN"/>
              </w:rPr>
              <w:t>7,595.7</w:t>
            </w:r>
            <w:r>
              <w:rPr>
                <w:rFonts w:hint="eastAsia" w:ascii="仿宋_GB2312" w:hAnsi="Arial" w:eastAsia="仿宋_GB2312" w:cs="Arial"/>
                <w:color w:val="auto"/>
                <w:kern w:val="0"/>
                <w:sz w:val="24"/>
                <w:szCs w:val="24"/>
                <w:highlight w:val="none"/>
              </w:rPr>
              <w:t>万元；2.商铺出租收入，拟发债期限内收入合计</w:t>
            </w:r>
            <w:r>
              <w:rPr>
                <w:rFonts w:hint="eastAsia" w:ascii="仿宋_GB2312" w:hAnsi="Arial" w:eastAsia="仿宋_GB2312" w:cs="Arial"/>
                <w:color w:val="auto"/>
                <w:kern w:val="0"/>
                <w:sz w:val="24"/>
                <w:szCs w:val="24"/>
                <w:highlight w:val="none"/>
                <w:lang w:val="en-US" w:eastAsia="zh-CN"/>
              </w:rPr>
              <w:t>8,102.1</w:t>
            </w:r>
            <w:r>
              <w:rPr>
                <w:rFonts w:hint="eastAsia" w:ascii="仿宋_GB2312" w:hAnsi="Arial" w:eastAsia="仿宋_GB2312" w:cs="Arial"/>
                <w:color w:val="auto"/>
                <w:kern w:val="0"/>
                <w:sz w:val="24"/>
                <w:szCs w:val="24"/>
                <w:highlight w:val="none"/>
              </w:rPr>
              <w:t>万元；</w:t>
            </w:r>
            <w:r>
              <w:rPr>
                <w:rFonts w:hint="eastAsia" w:ascii="仿宋_GB2312" w:hAnsi="Arial" w:eastAsia="仿宋_GB2312" w:cs="Arial"/>
                <w:color w:val="auto"/>
                <w:kern w:val="0"/>
                <w:sz w:val="24"/>
                <w:szCs w:val="24"/>
                <w:highlight w:val="none"/>
                <w:lang w:val="en-US" w:eastAsia="zh-CN"/>
              </w:rPr>
              <w:t>3</w:t>
            </w:r>
            <w:r>
              <w:rPr>
                <w:rFonts w:hint="eastAsia" w:ascii="仿宋_GB2312" w:hAnsi="Arial" w:eastAsia="仿宋_GB2312" w:cs="Arial"/>
                <w:color w:val="auto"/>
                <w:kern w:val="0"/>
                <w:sz w:val="24"/>
                <w:szCs w:val="24"/>
                <w:highlight w:val="none"/>
              </w:rPr>
              <w:t>.仓库出租收入，拟发债期限内收入合计</w:t>
            </w:r>
            <w:r>
              <w:rPr>
                <w:rFonts w:hint="eastAsia" w:ascii="仿宋_GB2312" w:hAnsi="Arial" w:eastAsia="仿宋_GB2312" w:cs="Arial"/>
                <w:color w:val="auto"/>
                <w:kern w:val="0"/>
                <w:sz w:val="24"/>
                <w:szCs w:val="24"/>
                <w:highlight w:val="none"/>
                <w:lang w:val="en-US" w:eastAsia="zh-CN"/>
              </w:rPr>
              <w:t>9,000</w:t>
            </w:r>
            <w:r>
              <w:rPr>
                <w:rFonts w:hint="eastAsia" w:ascii="仿宋_GB2312" w:hAnsi="Arial" w:eastAsia="仿宋_GB2312" w:cs="Arial"/>
                <w:color w:val="auto"/>
                <w:kern w:val="0"/>
                <w:sz w:val="24"/>
                <w:szCs w:val="24"/>
                <w:highlight w:val="none"/>
              </w:rPr>
              <w:t>万元</w:t>
            </w:r>
            <w:r>
              <w:rPr>
                <w:rFonts w:hint="eastAsia" w:ascii="仿宋_GB2312" w:hAnsi="Arial" w:cs="Arial"/>
                <w:color w:val="auto"/>
                <w:kern w:val="0"/>
                <w:sz w:val="24"/>
                <w:szCs w:val="24"/>
                <w:highlight w:val="none"/>
                <w:lang w:eastAsia="zh-CN"/>
              </w:rPr>
              <w:t>。</w:t>
            </w:r>
          </w:p>
        </w:tc>
      </w:tr>
      <w:tr>
        <w:tblPrEx>
          <w:tblCellMar>
            <w:top w:w="0" w:type="dxa"/>
            <w:left w:w="108" w:type="dxa"/>
            <w:bottom w:w="0" w:type="dxa"/>
            <w:right w:w="108" w:type="dxa"/>
          </w:tblCellMar>
        </w:tblPrEx>
        <w:trPr>
          <w:trHeight w:val="808" w:hRule="atLeast"/>
        </w:trPr>
        <w:tc>
          <w:tcPr>
            <w:tcW w:w="9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Arial" w:eastAsia="仿宋_GB2312" w:cs="Arial"/>
                <w:color w:val="auto"/>
                <w:kern w:val="0"/>
                <w:sz w:val="24"/>
                <w:szCs w:val="24"/>
                <w:highlight w:val="none"/>
                <w:lang w:eastAsia="zh-CN"/>
              </w:rPr>
            </w:pPr>
            <w:r>
              <w:rPr>
                <w:rFonts w:hint="eastAsia" w:ascii="仿宋_GB2312" w:hAnsi="Arial" w:eastAsia="仿宋_GB2312" w:cs="Arial"/>
                <w:color w:val="auto"/>
                <w:kern w:val="0"/>
                <w:sz w:val="24"/>
                <w:szCs w:val="24"/>
                <w:highlight w:val="none"/>
              </w:rPr>
              <w:t>总体绩效</w:t>
            </w:r>
          </w:p>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目标</w:t>
            </w:r>
          </w:p>
        </w:tc>
        <w:tc>
          <w:tcPr>
            <w:tcW w:w="4099"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both"/>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项目建设阶段完成本项目中的全部建设内容，并在投资、进度、质量均能达到决策阶段的预期目标。</w:t>
            </w:r>
          </w:p>
        </w:tc>
      </w:tr>
      <w:tr>
        <w:tblPrEx>
          <w:tblCellMar>
            <w:top w:w="0" w:type="dxa"/>
            <w:left w:w="108" w:type="dxa"/>
            <w:bottom w:w="0" w:type="dxa"/>
            <w:right w:w="108" w:type="dxa"/>
          </w:tblCellMar>
        </w:tblPrEx>
        <w:trPr>
          <w:trHeight w:val="660" w:hRule="atLeast"/>
        </w:trPr>
        <w:tc>
          <w:tcPr>
            <w:tcW w:w="3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Arial" w:eastAsia="仿宋_GB2312" w:cs="Arial"/>
                <w:color w:val="auto"/>
                <w:kern w:val="0"/>
                <w:sz w:val="24"/>
                <w:szCs w:val="24"/>
                <w:highlight w:val="none"/>
                <w:lang w:eastAsia="zh-CN"/>
              </w:rPr>
            </w:pPr>
            <w:r>
              <w:rPr>
                <w:rFonts w:hint="eastAsia" w:ascii="仿宋_GB2312" w:hAnsi="Arial" w:eastAsia="仿宋_GB2312" w:cs="Arial"/>
                <w:color w:val="auto"/>
                <w:kern w:val="0"/>
                <w:sz w:val="24"/>
                <w:szCs w:val="24"/>
                <w:highlight w:val="none"/>
              </w:rPr>
              <w:t>绩</w:t>
            </w:r>
          </w:p>
          <w:p>
            <w:pPr>
              <w:pStyle w:val="2"/>
              <w:rPr>
                <w:rFonts w:hint="eastAsia"/>
                <w:color w:val="auto"/>
                <w:highlight w:val="none"/>
                <w:lang w:eastAsia="zh-CN"/>
              </w:rPr>
            </w:pPr>
          </w:p>
          <w:p>
            <w:pPr>
              <w:widowControl/>
              <w:jc w:val="center"/>
              <w:rPr>
                <w:rFonts w:hint="eastAsia" w:ascii="仿宋_GB2312" w:hAnsi="Arial" w:eastAsia="仿宋_GB2312" w:cs="Arial"/>
                <w:color w:val="auto"/>
                <w:kern w:val="0"/>
                <w:sz w:val="24"/>
                <w:szCs w:val="24"/>
                <w:highlight w:val="none"/>
                <w:lang w:eastAsia="zh-CN"/>
              </w:rPr>
            </w:pPr>
            <w:r>
              <w:rPr>
                <w:rFonts w:hint="eastAsia" w:ascii="仿宋_GB2312" w:hAnsi="Arial" w:eastAsia="仿宋_GB2312" w:cs="Arial"/>
                <w:color w:val="auto"/>
                <w:kern w:val="0"/>
                <w:sz w:val="24"/>
                <w:szCs w:val="24"/>
                <w:highlight w:val="none"/>
              </w:rPr>
              <w:t>效</w:t>
            </w:r>
          </w:p>
          <w:p>
            <w:pPr>
              <w:pStyle w:val="2"/>
              <w:rPr>
                <w:rFonts w:hint="eastAsia"/>
                <w:color w:val="auto"/>
                <w:highlight w:val="none"/>
                <w:lang w:eastAsia="zh-CN"/>
              </w:rPr>
            </w:pPr>
          </w:p>
          <w:p>
            <w:pPr>
              <w:widowControl/>
              <w:jc w:val="center"/>
              <w:rPr>
                <w:rFonts w:hint="eastAsia" w:ascii="仿宋_GB2312" w:hAnsi="Arial" w:eastAsia="仿宋_GB2312" w:cs="Arial"/>
                <w:color w:val="auto"/>
                <w:kern w:val="0"/>
                <w:sz w:val="24"/>
                <w:szCs w:val="24"/>
                <w:highlight w:val="none"/>
                <w:lang w:eastAsia="zh-CN"/>
              </w:rPr>
            </w:pPr>
            <w:r>
              <w:rPr>
                <w:rFonts w:hint="eastAsia" w:ascii="仿宋_GB2312" w:hAnsi="Arial" w:eastAsia="仿宋_GB2312" w:cs="Arial"/>
                <w:color w:val="auto"/>
                <w:kern w:val="0"/>
                <w:sz w:val="24"/>
                <w:szCs w:val="24"/>
                <w:highlight w:val="none"/>
              </w:rPr>
              <w:t>指</w:t>
            </w:r>
          </w:p>
          <w:p>
            <w:pPr>
              <w:pStyle w:val="2"/>
              <w:rPr>
                <w:rFonts w:hint="eastAsia"/>
                <w:color w:val="auto"/>
                <w:highlight w:val="none"/>
                <w:lang w:eastAsia="zh-CN"/>
              </w:rPr>
            </w:pPr>
          </w:p>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标</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一级指标</w:t>
            </w: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二级指标</w:t>
            </w: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三级指标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202</w:t>
            </w:r>
            <w:r>
              <w:rPr>
                <w:rFonts w:hint="eastAsia" w:ascii="等线" w:hAnsi="等线" w:eastAsia="等线" w:cs="Arial"/>
                <w:color w:val="auto"/>
                <w:kern w:val="0"/>
                <w:sz w:val="24"/>
                <w:szCs w:val="24"/>
                <w:highlight w:val="none"/>
              </w:rPr>
              <w:t>2</w:t>
            </w:r>
            <w:r>
              <w:rPr>
                <w:rFonts w:hint="eastAsia" w:ascii="仿宋_GB2312" w:hAnsi="Arial" w:eastAsia="仿宋_GB2312" w:cs="Arial"/>
                <w:color w:val="auto"/>
                <w:kern w:val="0"/>
                <w:sz w:val="24"/>
                <w:szCs w:val="24"/>
                <w:highlight w:val="none"/>
              </w:rPr>
              <w:t>年度资金绩效指标值</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总体绩效指标值</w:t>
            </w:r>
          </w:p>
        </w:tc>
      </w:tr>
      <w:tr>
        <w:tblPrEx>
          <w:tblCellMar>
            <w:top w:w="0" w:type="dxa"/>
            <w:left w:w="108" w:type="dxa"/>
            <w:bottom w:w="0" w:type="dxa"/>
            <w:right w:w="108" w:type="dxa"/>
          </w:tblCellMar>
        </w:tblPrEx>
        <w:trPr>
          <w:trHeight w:val="439" w:hRule="atLeast"/>
        </w:trPr>
        <w:tc>
          <w:tcPr>
            <w:tcW w:w="3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601" w:type="pct"/>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成本指标</w:t>
            </w: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经济成本指标</w:t>
            </w: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本息覆盖倍数</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Arial" w:eastAsia="仿宋_GB2312" w:cs="Arial"/>
                <w:color w:val="auto"/>
                <w:kern w:val="0"/>
                <w:sz w:val="24"/>
                <w:szCs w:val="24"/>
                <w:highlight w:val="none"/>
                <w:lang w:val="en-US" w:eastAsia="zh-CN"/>
              </w:rPr>
            </w:pPr>
            <w:r>
              <w:rPr>
                <w:rFonts w:hint="eastAsia" w:ascii="仿宋_GB2312" w:hAnsi="Arial" w:eastAsia="仿宋_GB2312" w:cs="Arial"/>
                <w:color w:val="auto"/>
                <w:kern w:val="0"/>
                <w:sz w:val="24"/>
                <w:szCs w:val="24"/>
                <w:highlight w:val="none"/>
                <w:lang w:val="en-US" w:eastAsia="zh-CN"/>
              </w:rPr>
              <w:t>1.89</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Arial" w:eastAsia="仿宋_GB2312" w:cs="Arial"/>
                <w:color w:val="auto"/>
                <w:kern w:val="0"/>
                <w:sz w:val="24"/>
                <w:szCs w:val="24"/>
                <w:highlight w:val="none"/>
                <w:lang w:val="en-US" w:eastAsia="zh-CN"/>
              </w:rPr>
            </w:pPr>
            <w:r>
              <w:rPr>
                <w:rFonts w:hint="eastAsia" w:ascii="仿宋_GB2312" w:hAnsi="Arial" w:eastAsia="仿宋_GB2312" w:cs="Arial"/>
                <w:color w:val="auto"/>
                <w:kern w:val="0"/>
                <w:sz w:val="24"/>
                <w:szCs w:val="24"/>
                <w:highlight w:val="none"/>
                <w:lang w:val="en-US" w:eastAsia="zh-CN"/>
              </w:rPr>
              <w:t>1.89</w:t>
            </w:r>
          </w:p>
        </w:tc>
      </w:tr>
      <w:tr>
        <w:tblPrEx>
          <w:tblCellMar>
            <w:top w:w="0" w:type="dxa"/>
            <w:left w:w="108" w:type="dxa"/>
            <w:bottom w:w="0" w:type="dxa"/>
            <w:right w:w="108" w:type="dxa"/>
          </w:tblCellMar>
        </w:tblPrEx>
        <w:trPr>
          <w:trHeight w:val="439" w:hRule="atLeast"/>
        </w:trPr>
        <w:tc>
          <w:tcPr>
            <w:tcW w:w="3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6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7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社会成本指标</w:t>
            </w: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对社会发展的负面影响</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无</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无</w:t>
            </w:r>
          </w:p>
        </w:tc>
      </w:tr>
      <w:tr>
        <w:tblPrEx>
          <w:tblCellMar>
            <w:top w:w="0" w:type="dxa"/>
            <w:left w:w="108" w:type="dxa"/>
            <w:bottom w:w="0" w:type="dxa"/>
            <w:right w:w="108" w:type="dxa"/>
          </w:tblCellMar>
        </w:tblPrEx>
        <w:trPr>
          <w:trHeight w:val="660" w:hRule="atLeast"/>
        </w:trPr>
        <w:tc>
          <w:tcPr>
            <w:tcW w:w="3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6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7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对公共福利的负面影响</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无</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无</w:t>
            </w:r>
          </w:p>
        </w:tc>
      </w:tr>
      <w:tr>
        <w:tblPrEx>
          <w:tblCellMar>
            <w:top w:w="0" w:type="dxa"/>
            <w:left w:w="108" w:type="dxa"/>
            <w:bottom w:w="0" w:type="dxa"/>
            <w:right w:w="108" w:type="dxa"/>
          </w:tblCellMar>
        </w:tblPrEx>
        <w:trPr>
          <w:trHeight w:val="660" w:hRule="atLeast"/>
        </w:trPr>
        <w:tc>
          <w:tcPr>
            <w:tcW w:w="3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6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生态环境成本指标</w:t>
            </w: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对自然生态环境造成的负面影响</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无</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无</w:t>
            </w:r>
          </w:p>
        </w:tc>
      </w:tr>
      <w:tr>
        <w:tblPrEx>
          <w:tblCellMar>
            <w:top w:w="0" w:type="dxa"/>
            <w:left w:w="108" w:type="dxa"/>
            <w:bottom w:w="0" w:type="dxa"/>
            <w:right w:w="108" w:type="dxa"/>
          </w:tblCellMar>
        </w:tblPrEx>
        <w:trPr>
          <w:trHeight w:val="605" w:hRule="atLeast"/>
        </w:trPr>
        <w:tc>
          <w:tcPr>
            <w:tcW w:w="3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6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Arial" w:eastAsia="仿宋_GB2312" w:cs="Arial"/>
                <w:color w:val="auto"/>
                <w:kern w:val="0"/>
                <w:sz w:val="24"/>
                <w:szCs w:val="24"/>
                <w:highlight w:val="none"/>
                <w:lang w:eastAsia="zh-CN"/>
              </w:rPr>
            </w:pPr>
            <w:r>
              <w:rPr>
                <w:rFonts w:hint="eastAsia" w:ascii="仿宋_GB2312" w:hAnsi="Arial" w:eastAsia="仿宋_GB2312" w:cs="Arial"/>
                <w:color w:val="auto"/>
                <w:kern w:val="0"/>
                <w:sz w:val="24"/>
                <w:szCs w:val="24"/>
                <w:highlight w:val="none"/>
              </w:rPr>
              <w:t>产</w:t>
            </w:r>
          </w:p>
          <w:p>
            <w:pPr>
              <w:widowControl/>
              <w:jc w:val="center"/>
              <w:rPr>
                <w:rFonts w:hint="eastAsia" w:ascii="仿宋_GB2312" w:hAnsi="Arial" w:eastAsia="仿宋_GB2312" w:cs="Arial"/>
                <w:color w:val="auto"/>
                <w:kern w:val="0"/>
                <w:sz w:val="24"/>
                <w:szCs w:val="24"/>
                <w:highlight w:val="none"/>
                <w:lang w:eastAsia="zh-CN"/>
              </w:rPr>
            </w:pPr>
            <w:r>
              <w:rPr>
                <w:rFonts w:hint="eastAsia" w:ascii="仿宋_GB2312" w:hAnsi="Arial" w:eastAsia="仿宋_GB2312" w:cs="Arial"/>
                <w:color w:val="auto"/>
                <w:kern w:val="0"/>
                <w:sz w:val="24"/>
                <w:szCs w:val="24"/>
                <w:highlight w:val="none"/>
              </w:rPr>
              <w:t>出</w:t>
            </w:r>
          </w:p>
          <w:p>
            <w:pPr>
              <w:widowControl/>
              <w:jc w:val="center"/>
              <w:rPr>
                <w:rFonts w:hint="eastAsia" w:ascii="仿宋_GB2312" w:hAnsi="Arial" w:eastAsia="仿宋_GB2312" w:cs="Arial"/>
                <w:color w:val="auto"/>
                <w:kern w:val="0"/>
                <w:sz w:val="24"/>
                <w:szCs w:val="24"/>
                <w:highlight w:val="none"/>
                <w:lang w:eastAsia="zh-CN"/>
              </w:rPr>
            </w:pPr>
            <w:r>
              <w:rPr>
                <w:rFonts w:hint="eastAsia" w:ascii="仿宋_GB2312" w:hAnsi="Arial" w:eastAsia="仿宋_GB2312" w:cs="Arial"/>
                <w:color w:val="auto"/>
                <w:kern w:val="0"/>
                <w:sz w:val="24"/>
                <w:szCs w:val="24"/>
                <w:highlight w:val="none"/>
              </w:rPr>
              <w:t>指</w:t>
            </w:r>
          </w:p>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标</w:t>
            </w: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数量指标</w:t>
            </w: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计划完成的工程量进度</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Arial" w:eastAsia="仿宋_GB2312" w:cs="Arial"/>
                <w:color w:val="auto"/>
                <w:kern w:val="0"/>
                <w:sz w:val="24"/>
                <w:szCs w:val="24"/>
                <w:highlight w:val="none"/>
                <w:lang w:val="en-US" w:eastAsia="zh-CN"/>
              </w:rPr>
            </w:pPr>
            <w:r>
              <w:rPr>
                <w:rFonts w:hint="eastAsia" w:ascii="仿宋_GB2312" w:hAnsi="Arial" w:eastAsia="仿宋_GB2312" w:cs="Arial"/>
                <w:color w:val="auto"/>
                <w:kern w:val="0"/>
                <w:sz w:val="24"/>
                <w:szCs w:val="24"/>
                <w:highlight w:val="none"/>
                <w:lang w:val="en-US" w:eastAsia="zh-CN"/>
              </w:rPr>
              <w:t>100%</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100%</w:t>
            </w:r>
          </w:p>
        </w:tc>
      </w:tr>
      <w:tr>
        <w:tblPrEx>
          <w:tblCellMar>
            <w:top w:w="0" w:type="dxa"/>
            <w:left w:w="108" w:type="dxa"/>
            <w:bottom w:w="0" w:type="dxa"/>
            <w:right w:w="108" w:type="dxa"/>
          </w:tblCellMar>
        </w:tblPrEx>
        <w:trPr>
          <w:trHeight w:val="454" w:hRule="atLeast"/>
        </w:trPr>
        <w:tc>
          <w:tcPr>
            <w:tcW w:w="3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6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质量指标</w:t>
            </w: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质量合格率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100%</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100%</w:t>
            </w:r>
          </w:p>
        </w:tc>
      </w:tr>
      <w:tr>
        <w:tblPrEx>
          <w:tblCellMar>
            <w:top w:w="0" w:type="dxa"/>
            <w:left w:w="108" w:type="dxa"/>
            <w:bottom w:w="0" w:type="dxa"/>
            <w:right w:w="108" w:type="dxa"/>
          </w:tblCellMar>
        </w:tblPrEx>
        <w:trPr>
          <w:trHeight w:val="439" w:hRule="atLeast"/>
        </w:trPr>
        <w:tc>
          <w:tcPr>
            <w:tcW w:w="3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6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7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时效指标</w:t>
            </w: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项目按计划开工率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100%</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100%</w:t>
            </w:r>
          </w:p>
        </w:tc>
      </w:tr>
      <w:tr>
        <w:tblPrEx>
          <w:tblCellMar>
            <w:top w:w="0" w:type="dxa"/>
            <w:left w:w="108" w:type="dxa"/>
            <w:bottom w:w="0" w:type="dxa"/>
            <w:right w:w="108" w:type="dxa"/>
          </w:tblCellMar>
        </w:tblPrEx>
        <w:trPr>
          <w:trHeight w:val="439" w:hRule="atLeast"/>
        </w:trPr>
        <w:tc>
          <w:tcPr>
            <w:tcW w:w="3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6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7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工程进度达标率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cs="Arial"/>
                <w:color w:val="auto"/>
                <w:kern w:val="0"/>
                <w:sz w:val="24"/>
                <w:szCs w:val="24"/>
                <w:highlight w:val="none"/>
                <w:lang w:val="en-US" w:eastAsia="zh-CN"/>
              </w:rPr>
              <w:t>79</w:t>
            </w:r>
            <w:r>
              <w:rPr>
                <w:rFonts w:hint="eastAsia" w:ascii="仿宋_GB2312" w:hAnsi="Arial" w:eastAsia="仿宋_GB2312" w:cs="Arial"/>
                <w:color w:val="auto"/>
                <w:kern w:val="0"/>
                <w:sz w:val="24"/>
                <w:szCs w:val="24"/>
                <w:highlight w:val="none"/>
              </w:rPr>
              <w:t>%</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100%</w:t>
            </w:r>
          </w:p>
        </w:tc>
      </w:tr>
      <w:tr>
        <w:tblPrEx>
          <w:tblCellMar>
            <w:top w:w="0" w:type="dxa"/>
            <w:left w:w="108" w:type="dxa"/>
            <w:bottom w:w="0" w:type="dxa"/>
            <w:right w:w="108" w:type="dxa"/>
          </w:tblCellMar>
        </w:tblPrEx>
        <w:trPr>
          <w:trHeight w:val="454" w:hRule="atLeast"/>
        </w:trPr>
        <w:tc>
          <w:tcPr>
            <w:tcW w:w="3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6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成本指标</w:t>
            </w: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投资控制是否不超概算</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是　</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是　</w:t>
            </w:r>
          </w:p>
        </w:tc>
      </w:tr>
      <w:tr>
        <w:tblPrEx>
          <w:tblCellMar>
            <w:top w:w="0" w:type="dxa"/>
            <w:left w:w="108" w:type="dxa"/>
            <w:bottom w:w="0" w:type="dxa"/>
            <w:right w:w="108" w:type="dxa"/>
          </w:tblCellMar>
        </w:tblPrEx>
        <w:trPr>
          <w:trHeight w:val="593" w:hRule="atLeast"/>
        </w:trPr>
        <w:tc>
          <w:tcPr>
            <w:tcW w:w="3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6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Arial" w:eastAsia="仿宋_GB2312" w:cs="Arial"/>
                <w:color w:val="auto"/>
                <w:kern w:val="0"/>
                <w:sz w:val="24"/>
                <w:szCs w:val="24"/>
                <w:highlight w:val="none"/>
                <w:lang w:eastAsia="zh-CN"/>
              </w:rPr>
            </w:pPr>
            <w:r>
              <w:rPr>
                <w:rFonts w:hint="eastAsia" w:ascii="仿宋_GB2312" w:hAnsi="Arial" w:eastAsia="仿宋_GB2312" w:cs="Arial"/>
                <w:color w:val="auto"/>
                <w:kern w:val="0"/>
                <w:sz w:val="24"/>
                <w:szCs w:val="24"/>
                <w:highlight w:val="none"/>
              </w:rPr>
              <w:t>效</w:t>
            </w:r>
          </w:p>
          <w:p>
            <w:pPr>
              <w:widowControl/>
              <w:jc w:val="center"/>
              <w:rPr>
                <w:rFonts w:hint="eastAsia" w:ascii="仿宋_GB2312" w:hAnsi="Arial" w:eastAsia="仿宋_GB2312" w:cs="Arial"/>
                <w:color w:val="auto"/>
                <w:kern w:val="0"/>
                <w:sz w:val="24"/>
                <w:szCs w:val="24"/>
                <w:highlight w:val="none"/>
                <w:lang w:eastAsia="zh-CN"/>
              </w:rPr>
            </w:pPr>
            <w:r>
              <w:rPr>
                <w:rFonts w:hint="eastAsia" w:ascii="仿宋_GB2312" w:hAnsi="Arial" w:eastAsia="仿宋_GB2312" w:cs="Arial"/>
                <w:color w:val="auto"/>
                <w:kern w:val="0"/>
                <w:sz w:val="24"/>
                <w:szCs w:val="24"/>
                <w:highlight w:val="none"/>
              </w:rPr>
              <w:t>益</w:t>
            </w:r>
          </w:p>
          <w:p>
            <w:pPr>
              <w:widowControl/>
              <w:jc w:val="center"/>
              <w:rPr>
                <w:rFonts w:hint="eastAsia" w:ascii="仿宋_GB2312" w:hAnsi="Arial" w:eastAsia="仿宋_GB2312" w:cs="Arial"/>
                <w:color w:val="auto"/>
                <w:kern w:val="0"/>
                <w:sz w:val="24"/>
                <w:szCs w:val="24"/>
                <w:highlight w:val="none"/>
                <w:lang w:eastAsia="zh-CN"/>
              </w:rPr>
            </w:pPr>
            <w:r>
              <w:rPr>
                <w:rFonts w:hint="eastAsia" w:ascii="仿宋_GB2312" w:hAnsi="Arial" w:eastAsia="仿宋_GB2312" w:cs="Arial"/>
                <w:color w:val="auto"/>
                <w:kern w:val="0"/>
                <w:sz w:val="24"/>
                <w:szCs w:val="24"/>
                <w:highlight w:val="none"/>
              </w:rPr>
              <w:t>指</w:t>
            </w:r>
          </w:p>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标</w:t>
            </w: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Arial" w:eastAsia="仿宋_GB2312" w:cs="Arial"/>
                <w:color w:val="auto"/>
                <w:kern w:val="0"/>
                <w:sz w:val="24"/>
                <w:szCs w:val="24"/>
                <w:highlight w:val="none"/>
                <w:lang w:eastAsia="zh-CN"/>
              </w:rPr>
            </w:pPr>
            <w:r>
              <w:rPr>
                <w:rFonts w:hint="eastAsia" w:ascii="仿宋_GB2312" w:hAnsi="Arial" w:eastAsia="仿宋_GB2312" w:cs="Arial"/>
                <w:color w:val="auto"/>
                <w:kern w:val="0"/>
                <w:sz w:val="24"/>
                <w:szCs w:val="24"/>
                <w:highlight w:val="none"/>
              </w:rPr>
              <w:t>经济效益</w:t>
            </w:r>
          </w:p>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指标</w:t>
            </w: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是否达到预期收益</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是　</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是　</w:t>
            </w:r>
          </w:p>
        </w:tc>
      </w:tr>
      <w:tr>
        <w:tblPrEx>
          <w:tblCellMar>
            <w:top w:w="0" w:type="dxa"/>
            <w:left w:w="108" w:type="dxa"/>
            <w:bottom w:w="0" w:type="dxa"/>
            <w:right w:w="108" w:type="dxa"/>
          </w:tblCellMar>
        </w:tblPrEx>
        <w:trPr>
          <w:trHeight w:val="439" w:hRule="atLeast"/>
        </w:trPr>
        <w:tc>
          <w:tcPr>
            <w:tcW w:w="3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6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7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Arial" w:eastAsia="仿宋_GB2312" w:cs="Arial"/>
                <w:color w:val="auto"/>
                <w:kern w:val="0"/>
                <w:sz w:val="24"/>
                <w:szCs w:val="24"/>
                <w:highlight w:val="none"/>
                <w:lang w:eastAsia="zh-CN"/>
              </w:rPr>
            </w:pPr>
            <w:r>
              <w:rPr>
                <w:rFonts w:hint="eastAsia" w:ascii="仿宋_GB2312" w:hAnsi="Arial" w:eastAsia="仿宋_GB2312" w:cs="Arial"/>
                <w:color w:val="auto"/>
                <w:kern w:val="0"/>
                <w:sz w:val="24"/>
                <w:szCs w:val="24"/>
                <w:highlight w:val="none"/>
              </w:rPr>
              <w:t>社会效益</w:t>
            </w:r>
          </w:p>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指标</w:t>
            </w: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与方针政策的符合性</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符合</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符合</w:t>
            </w:r>
          </w:p>
        </w:tc>
      </w:tr>
      <w:tr>
        <w:tblPrEx>
          <w:tblCellMar>
            <w:top w:w="0" w:type="dxa"/>
            <w:left w:w="108" w:type="dxa"/>
            <w:bottom w:w="0" w:type="dxa"/>
            <w:right w:w="108" w:type="dxa"/>
          </w:tblCellMar>
        </w:tblPrEx>
        <w:trPr>
          <w:trHeight w:val="439" w:hRule="atLeast"/>
        </w:trPr>
        <w:tc>
          <w:tcPr>
            <w:tcW w:w="3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6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7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与法律法规的相符性</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符合</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符合</w:t>
            </w:r>
          </w:p>
        </w:tc>
      </w:tr>
      <w:tr>
        <w:tblPrEx>
          <w:tblCellMar>
            <w:top w:w="0" w:type="dxa"/>
            <w:left w:w="108" w:type="dxa"/>
            <w:bottom w:w="0" w:type="dxa"/>
            <w:right w:w="108" w:type="dxa"/>
          </w:tblCellMar>
        </w:tblPrEx>
        <w:trPr>
          <w:trHeight w:val="439" w:hRule="atLeast"/>
        </w:trPr>
        <w:tc>
          <w:tcPr>
            <w:tcW w:w="3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6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7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对行业的影响</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促进行业高质量发展</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促进行业高质量发展</w:t>
            </w:r>
          </w:p>
        </w:tc>
      </w:tr>
      <w:tr>
        <w:tblPrEx>
          <w:tblCellMar>
            <w:top w:w="0" w:type="dxa"/>
            <w:left w:w="108" w:type="dxa"/>
            <w:bottom w:w="0" w:type="dxa"/>
            <w:right w:w="108" w:type="dxa"/>
          </w:tblCellMar>
        </w:tblPrEx>
        <w:trPr>
          <w:trHeight w:val="439" w:hRule="atLeast"/>
        </w:trPr>
        <w:tc>
          <w:tcPr>
            <w:tcW w:w="3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6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7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Arial" w:eastAsia="仿宋_GB2312" w:cs="Arial"/>
                <w:color w:val="auto"/>
                <w:kern w:val="0"/>
                <w:sz w:val="24"/>
                <w:szCs w:val="24"/>
                <w:highlight w:val="none"/>
                <w:lang w:eastAsia="zh-CN"/>
              </w:rPr>
            </w:pPr>
            <w:r>
              <w:rPr>
                <w:rFonts w:hint="eastAsia" w:ascii="仿宋_GB2312" w:hAnsi="Arial" w:eastAsia="仿宋_GB2312" w:cs="Arial"/>
                <w:color w:val="auto"/>
                <w:kern w:val="0"/>
                <w:sz w:val="24"/>
                <w:szCs w:val="24"/>
                <w:highlight w:val="none"/>
              </w:rPr>
              <w:t>生态效益</w:t>
            </w:r>
          </w:p>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指标</w:t>
            </w: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环境意识</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较好</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较好</w:t>
            </w:r>
          </w:p>
        </w:tc>
      </w:tr>
      <w:tr>
        <w:tblPrEx>
          <w:tblCellMar>
            <w:top w:w="0" w:type="dxa"/>
            <w:left w:w="108" w:type="dxa"/>
            <w:bottom w:w="0" w:type="dxa"/>
            <w:right w:w="108" w:type="dxa"/>
          </w:tblCellMar>
        </w:tblPrEx>
        <w:trPr>
          <w:trHeight w:val="439" w:hRule="atLeast"/>
        </w:trPr>
        <w:tc>
          <w:tcPr>
            <w:tcW w:w="3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6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7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能源节约率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较高</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较高</w:t>
            </w:r>
          </w:p>
        </w:tc>
      </w:tr>
      <w:tr>
        <w:tblPrEx>
          <w:tblCellMar>
            <w:top w:w="0" w:type="dxa"/>
            <w:left w:w="108" w:type="dxa"/>
            <w:bottom w:w="0" w:type="dxa"/>
            <w:right w:w="108" w:type="dxa"/>
          </w:tblCellMar>
        </w:tblPrEx>
        <w:trPr>
          <w:trHeight w:val="720" w:hRule="atLeast"/>
        </w:trPr>
        <w:tc>
          <w:tcPr>
            <w:tcW w:w="3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6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7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对周围环境的影响</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无</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无</w:t>
            </w:r>
          </w:p>
        </w:tc>
      </w:tr>
      <w:tr>
        <w:tblPrEx>
          <w:tblCellMar>
            <w:top w:w="0" w:type="dxa"/>
            <w:left w:w="108" w:type="dxa"/>
            <w:bottom w:w="0" w:type="dxa"/>
            <w:right w:w="108" w:type="dxa"/>
          </w:tblCellMar>
        </w:tblPrEx>
        <w:trPr>
          <w:trHeight w:val="605" w:hRule="atLeast"/>
        </w:trPr>
        <w:tc>
          <w:tcPr>
            <w:tcW w:w="3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6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Arial" w:eastAsia="仿宋_GB2312" w:cs="Arial"/>
                <w:color w:val="auto"/>
                <w:kern w:val="0"/>
                <w:sz w:val="24"/>
                <w:szCs w:val="24"/>
                <w:highlight w:val="none"/>
                <w:lang w:eastAsia="zh-CN"/>
              </w:rPr>
            </w:pPr>
            <w:r>
              <w:rPr>
                <w:rFonts w:hint="eastAsia" w:ascii="仿宋_GB2312" w:hAnsi="Arial" w:eastAsia="仿宋_GB2312" w:cs="Arial"/>
                <w:color w:val="auto"/>
                <w:kern w:val="0"/>
                <w:sz w:val="24"/>
                <w:szCs w:val="24"/>
                <w:highlight w:val="none"/>
              </w:rPr>
              <w:t>可持续影响</w:t>
            </w:r>
          </w:p>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指标</w:t>
            </w: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对本行业未来可持续发展的影响</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积极</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积极</w:t>
            </w:r>
          </w:p>
        </w:tc>
      </w:tr>
      <w:tr>
        <w:tblPrEx>
          <w:tblCellMar>
            <w:top w:w="0" w:type="dxa"/>
            <w:left w:w="108" w:type="dxa"/>
            <w:bottom w:w="0" w:type="dxa"/>
            <w:right w:w="108" w:type="dxa"/>
          </w:tblCellMar>
        </w:tblPrEx>
        <w:trPr>
          <w:trHeight w:val="439" w:hRule="atLeast"/>
        </w:trPr>
        <w:tc>
          <w:tcPr>
            <w:tcW w:w="30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Arial" w:eastAsia="仿宋_GB2312" w:cs="Arial"/>
                <w:color w:val="auto"/>
                <w:kern w:val="0"/>
                <w:sz w:val="24"/>
                <w:szCs w:val="24"/>
                <w:highlight w:val="none"/>
                <w:lang w:eastAsia="zh-CN"/>
              </w:rPr>
            </w:pPr>
            <w:r>
              <w:rPr>
                <w:rFonts w:hint="eastAsia" w:ascii="仿宋_GB2312" w:hAnsi="Arial" w:eastAsia="仿宋_GB2312" w:cs="Arial"/>
                <w:color w:val="auto"/>
                <w:kern w:val="0"/>
                <w:sz w:val="24"/>
                <w:szCs w:val="24"/>
                <w:highlight w:val="none"/>
              </w:rPr>
              <w:t>绩</w:t>
            </w:r>
          </w:p>
          <w:p>
            <w:pPr>
              <w:pStyle w:val="2"/>
              <w:rPr>
                <w:rFonts w:hint="eastAsia"/>
                <w:color w:val="auto"/>
                <w:highlight w:val="none"/>
                <w:lang w:eastAsia="zh-CN"/>
              </w:rPr>
            </w:pPr>
          </w:p>
          <w:p>
            <w:pPr>
              <w:widowControl/>
              <w:jc w:val="center"/>
              <w:rPr>
                <w:rFonts w:hint="eastAsia" w:ascii="仿宋_GB2312" w:hAnsi="Arial" w:eastAsia="仿宋_GB2312" w:cs="Arial"/>
                <w:color w:val="auto"/>
                <w:kern w:val="0"/>
                <w:sz w:val="24"/>
                <w:szCs w:val="24"/>
                <w:highlight w:val="none"/>
                <w:lang w:eastAsia="zh-CN"/>
              </w:rPr>
            </w:pPr>
            <w:r>
              <w:rPr>
                <w:rFonts w:hint="eastAsia" w:ascii="仿宋_GB2312" w:hAnsi="Arial" w:eastAsia="仿宋_GB2312" w:cs="Arial"/>
                <w:color w:val="auto"/>
                <w:kern w:val="0"/>
                <w:sz w:val="24"/>
                <w:szCs w:val="24"/>
                <w:highlight w:val="none"/>
              </w:rPr>
              <w:t>效</w:t>
            </w:r>
          </w:p>
          <w:p>
            <w:pPr>
              <w:pStyle w:val="2"/>
              <w:rPr>
                <w:rFonts w:hint="eastAsia"/>
                <w:color w:val="auto"/>
                <w:highlight w:val="none"/>
                <w:lang w:eastAsia="zh-CN"/>
              </w:rPr>
            </w:pPr>
          </w:p>
          <w:p>
            <w:pPr>
              <w:widowControl/>
              <w:jc w:val="center"/>
              <w:rPr>
                <w:rFonts w:hint="eastAsia" w:ascii="仿宋_GB2312" w:hAnsi="Arial" w:eastAsia="仿宋_GB2312" w:cs="Arial"/>
                <w:color w:val="auto"/>
                <w:kern w:val="0"/>
                <w:sz w:val="24"/>
                <w:szCs w:val="24"/>
                <w:highlight w:val="none"/>
                <w:lang w:eastAsia="zh-CN"/>
              </w:rPr>
            </w:pPr>
            <w:r>
              <w:rPr>
                <w:rFonts w:hint="eastAsia" w:ascii="仿宋_GB2312" w:hAnsi="Arial" w:eastAsia="仿宋_GB2312" w:cs="Arial"/>
                <w:color w:val="auto"/>
                <w:kern w:val="0"/>
                <w:sz w:val="24"/>
                <w:szCs w:val="24"/>
                <w:highlight w:val="none"/>
              </w:rPr>
              <w:t>指</w:t>
            </w:r>
          </w:p>
          <w:p>
            <w:pPr>
              <w:pStyle w:val="2"/>
              <w:rPr>
                <w:rFonts w:hint="eastAsia"/>
                <w:color w:val="auto"/>
                <w:highlight w:val="none"/>
                <w:lang w:eastAsia="zh-CN"/>
              </w:rPr>
            </w:pPr>
          </w:p>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标</w:t>
            </w:r>
          </w:p>
        </w:tc>
        <w:tc>
          <w:tcPr>
            <w:tcW w:w="6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效益指标</w:t>
            </w:r>
          </w:p>
        </w:tc>
        <w:tc>
          <w:tcPr>
            <w:tcW w:w="733"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Arial" w:eastAsia="仿宋_GB2312" w:cs="Arial"/>
                <w:color w:val="auto"/>
                <w:kern w:val="0"/>
                <w:sz w:val="24"/>
                <w:szCs w:val="24"/>
                <w:highlight w:val="none"/>
                <w:lang w:eastAsia="zh-CN"/>
              </w:rPr>
            </w:pPr>
            <w:r>
              <w:rPr>
                <w:rFonts w:hint="eastAsia" w:ascii="仿宋_GB2312" w:hAnsi="Arial" w:eastAsia="仿宋_GB2312" w:cs="Arial"/>
                <w:color w:val="auto"/>
                <w:kern w:val="0"/>
                <w:sz w:val="24"/>
                <w:szCs w:val="24"/>
                <w:highlight w:val="none"/>
              </w:rPr>
              <w:t>服务对象</w:t>
            </w:r>
          </w:p>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满意度指标</w:t>
            </w: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使用人员满意度</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100%</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100%</w:t>
            </w:r>
          </w:p>
        </w:tc>
      </w:tr>
      <w:tr>
        <w:tblPrEx>
          <w:tblCellMar>
            <w:top w:w="0" w:type="dxa"/>
            <w:left w:w="108" w:type="dxa"/>
            <w:bottom w:w="0" w:type="dxa"/>
            <w:right w:w="108" w:type="dxa"/>
          </w:tblCellMar>
        </w:tblPrEx>
        <w:trPr>
          <w:trHeight w:val="439" w:hRule="atLeast"/>
        </w:trPr>
        <w:tc>
          <w:tcPr>
            <w:tcW w:w="3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6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733"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受益群体满意度</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100%</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100%</w:t>
            </w:r>
          </w:p>
        </w:tc>
      </w:tr>
      <w:tr>
        <w:tblPrEx>
          <w:tblCellMar>
            <w:top w:w="0" w:type="dxa"/>
            <w:left w:w="108" w:type="dxa"/>
            <w:bottom w:w="0" w:type="dxa"/>
            <w:right w:w="108" w:type="dxa"/>
          </w:tblCellMar>
        </w:tblPrEx>
        <w:trPr>
          <w:trHeight w:val="599" w:hRule="atLeast"/>
        </w:trPr>
        <w:tc>
          <w:tcPr>
            <w:tcW w:w="3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60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偿债风险指标</w:t>
            </w: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融资与收益平衡指标</w:t>
            </w: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项目全生命周期预期收益与债券本息是否平衡</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是</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是</w:t>
            </w:r>
          </w:p>
        </w:tc>
      </w:tr>
      <w:tr>
        <w:tblPrEx>
          <w:tblCellMar>
            <w:top w:w="0" w:type="dxa"/>
            <w:left w:w="108" w:type="dxa"/>
            <w:bottom w:w="0" w:type="dxa"/>
            <w:right w:w="108" w:type="dxa"/>
          </w:tblCellMar>
        </w:tblPrEx>
        <w:trPr>
          <w:trHeight w:val="599" w:hRule="atLeast"/>
        </w:trPr>
        <w:tc>
          <w:tcPr>
            <w:tcW w:w="300"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601" w:type="pct"/>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Arial" w:eastAsia="仿宋_GB2312" w:cs="Arial"/>
                <w:color w:val="auto"/>
                <w:kern w:val="0"/>
                <w:sz w:val="24"/>
                <w:szCs w:val="24"/>
                <w:highlight w:val="none"/>
              </w:rPr>
            </w:pPr>
          </w:p>
        </w:tc>
        <w:tc>
          <w:tcPr>
            <w:tcW w:w="73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债券还本付息指标</w:t>
            </w:r>
          </w:p>
        </w:tc>
        <w:tc>
          <w:tcPr>
            <w:tcW w:w="1307"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还本付息及时率</w:t>
            </w:r>
          </w:p>
        </w:tc>
        <w:tc>
          <w:tcPr>
            <w:tcW w:w="100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100%</w:t>
            </w:r>
          </w:p>
        </w:tc>
        <w:tc>
          <w:tcPr>
            <w:tcW w:w="105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Arial" w:eastAsia="仿宋_GB2312" w:cs="Arial"/>
                <w:color w:val="auto"/>
                <w:kern w:val="0"/>
                <w:sz w:val="24"/>
                <w:szCs w:val="24"/>
                <w:highlight w:val="none"/>
              </w:rPr>
            </w:pPr>
            <w:r>
              <w:rPr>
                <w:rFonts w:hint="eastAsia" w:ascii="仿宋_GB2312" w:hAnsi="Arial" w:eastAsia="仿宋_GB2312" w:cs="Arial"/>
                <w:color w:val="auto"/>
                <w:kern w:val="0"/>
                <w:sz w:val="24"/>
                <w:szCs w:val="24"/>
                <w:highlight w:val="none"/>
              </w:rPr>
              <w:t>100%</w:t>
            </w:r>
          </w:p>
        </w:tc>
      </w:tr>
      <w:tr>
        <w:tblPrEx>
          <w:tblCellMar>
            <w:top w:w="0" w:type="dxa"/>
            <w:left w:w="108" w:type="dxa"/>
            <w:bottom w:w="0" w:type="dxa"/>
            <w:right w:w="108" w:type="dxa"/>
          </w:tblCellMar>
        </w:tblPrEx>
        <w:trPr>
          <w:trHeight w:val="1401" w:hRule="atLeast"/>
        </w:trPr>
        <w:tc>
          <w:tcPr>
            <w:tcW w:w="5000" w:type="pct"/>
            <w:gridSpan w:val="7"/>
            <w:tcBorders>
              <w:top w:val="single" w:color="auto" w:sz="4" w:space="0"/>
              <w:left w:val="nil"/>
              <w:bottom w:val="nil"/>
              <w:right w:val="nil"/>
            </w:tcBorders>
            <w:shd w:val="clear" w:color="000000" w:fill="FFFFFF"/>
            <w:vAlign w:val="center"/>
          </w:tcPr>
          <w:p>
            <w:pPr>
              <w:widowControl/>
              <w:jc w:val="left"/>
              <w:rPr>
                <w:rFonts w:hint="eastAsia" w:ascii="宋体" w:hAnsi="宋体" w:eastAsia="宋体" w:cs="Arial"/>
                <w:color w:val="auto"/>
                <w:kern w:val="0"/>
                <w:sz w:val="20"/>
                <w:szCs w:val="20"/>
                <w:highlight w:val="none"/>
                <w:lang w:eastAsia="zh-CN"/>
              </w:rPr>
            </w:pPr>
            <w:r>
              <w:rPr>
                <w:rFonts w:hint="eastAsia" w:ascii="宋体" w:hAnsi="宋体" w:eastAsia="宋体" w:cs="Arial"/>
                <w:color w:val="auto"/>
                <w:kern w:val="0"/>
                <w:sz w:val="20"/>
                <w:szCs w:val="20"/>
                <w:highlight w:val="none"/>
              </w:rPr>
              <w:t>注：1.需根据项目实际明确三级指标及指标值；</w:t>
            </w:r>
          </w:p>
          <w:p>
            <w:pPr>
              <w:widowControl/>
              <w:jc w:val="left"/>
              <w:rPr>
                <w:rFonts w:hint="eastAsia" w:ascii="宋体" w:hAnsi="宋体" w:eastAsia="宋体" w:cs="Arial"/>
                <w:color w:val="auto"/>
                <w:kern w:val="0"/>
                <w:sz w:val="20"/>
                <w:szCs w:val="20"/>
                <w:highlight w:val="none"/>
                <w:lang w:eastAsia="zh-CN"/>
              </w:rPr>
            </w:pPr>
            <w:r>
              <w:rPr>
                <w:rFonts w:hint="eastAsia" w:ascii="宋体" w:hAnsi="宋体" w:eastAsia="宋体" w:cs="Arial"/>
                <w:color w:val="auto"/>
                <w:kern w:val="0"/>
                <w:sz w:val="20"/>
                <w:szCs w:val="20"/>
                <w:highlight w:val="none"/>
              </w:rPr>
              <w:t xml:space="preserve">    2.偿债风险的指标值是指专项债券资金在债券存续期内的预期指标值。</w:t>
            </w:r>
          </w:p>
          <w:p>
            <w:pPr>
              <w:widowControl/>
              <w:jc w:val="left"/>
              <w:rPr>
                <w:rFonts w:hint="eastAsia" w:ascii="宋体" w:hAnsi="宋体" w:eastAsia="宋体" w:cs="Arial"/>
                <w:color w:val="auto"/>
                <w:kern w:val="0"/>
                <w:sz w:val="20"/>
                <w:szCs w:val="20"/>
                <w:highlight w:val="none"/>
                <w:lang w:eastAsia="zh-CN"/>
              </w:rPr>
            </w:pPr>
            <w:r>
              <w:rPr>
                <w:rFonts w:hint="eastAsia" w:ascii="宋体" w:hAnsi="宋体" w:eastAsia="宋体" w:cs="Arial"/>
                <w:color w:val="auto"/>
                <w:kern w:val="0"/>
                <w:sz w:val="20"/>
                <w:szCs w:val="20"/>
                <w:highlight w:val="none"/>
              </w:rPr>
              <w:t xml:space="preserve">    3.按照专项债券管理要求，每年年末净现金流应大于0，应按时足额偿还债券本息；项目全生命周期预期收益与融资</w:t>
            </w:r>
          </w:p>
          <w:p>
            <w:pPr>
              <w:widowControl/>
              <w:jc w:val="left"/>
              <w:rPr>
                <w:rFonts w:ascii="宋体" w:hAnsi="宋体" w:eastAsia="宋体" w:cs="Arial"/>
                <w:color w:val="auto"/>
                <w:kern w:val="0"/>
                <w:sz w:val="20"/>
                <w:szCs w:val="20"/>
                <w:highlight w:val="none"/>
              </w:rPr>
            </w:pPr>
            <w:r>
              <w:rPr>
                <w:rFonts w:hint="eastAsia" w:ascii="宋体" w:hAnsi="宋体" w:eastAsia="宋体" w:cs="Arial"/>
                <w:color w:val="auto"/>
                <w:kern w:val="0"/>
                <w:sz w:val="20"/>
                <w:szCs w:val="20"/>
                <w:highlight w:val="none"/>
              </w:rPr>
              <w:t xml:space="preserve">      规模保障倍数应不低于1.2倍，具体按照财政部有关要求确定。</w:t>
            </w:r>
          </w:p>
        </w:tc>
      </w:tr>
    </w:tbl>
    <w:p>
      <w:pPr>
        <w:pStyle w:val="7"/>
        <w:rPr>
          <w:rFonts w:hint="default" w:ascii="Times New Roman" w:hAnsi="Times New Roman"/>
          <w:color w:val="auto"/>
          <w:highlight w:val="none"/>
        </w:rPr>
      </w:pPr>
    </w:p>
    <w:p>
      <w:pPr>
        <w:rPr>
          <w:highlight w:val="none"/>
        </w:rPr>
      </w:pPr>
    </w:p>
    <w:bookmarkEnd w:id="1"/>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0Y2NlM2VlZDdjZGZiNDNlM2I1YzFkNjQyZmE0NTcifQ=="/>
  </w:docVars>
  <w:rsids>
    <w:rsidRoot w:val="00000000"/>
    <w:rsid w:val="09EB2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spacing w:line="240" w:lineRule="auto"/>
      <w:ind w:firstLine="0" w:firstLineChars="0"/>
      <w:jc w:val="both"/>
    </w:pPr>
    <w:rPr>
      <w:rFonts w:ascii="Times New Roman" w:hAnsi="Times New Roman" w:eastAsia="仿宋_GB2312" w:cs="宋体"/>
      <w:kern w:val="0"/>
      <w:sz w:val="32"/>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index heading"/>
    <w:basedOn w:val="1"/>
    <w:next w:val="3"/>
    <w:qFormat/>
    <w:uiPriority w:val="0"/>
    <w:rPr>
      <w:szCs w:val="20"/>
    </w:rPr>
  </w:style>
  <w:style w:type="paragraph" w:styleId="3">
    <w:name w:val="index 1"/>
    <w:basedOn w:val="1"/>
    <w:next w:val="1"/>
    <w:qFormat/>
    <w:uiPriority w:val="0"/>
    <w:pPr>
      <w:tabs>
        <w:tab w:val="left" w:pos="7740"/>
      </w:tabs>
      <w:jc w:val="center"/>
    </w:pPr>
    <w:rPr>
      <w:rFonts w:ascii="仿宋" w:hAnsi="仿宋" w:eastAsia="仿宋"/>
      <w:b/>
      <w:sz w:val="28"/>
      <w:szCs w:val="28"/>
    </w:rPr>
  </w:style>
  <w:style w:type="paragraph" w:styleId="4">
    <w:name w:val="header"/>
    <w:basedOn w:val="1"/>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customStyle="1" w:styleId="7">
    <w:name w:val="Default"/>
    <w:unhideWhenUsed/>
    <w:qFormat/>
    <w:uiPriority w:val="99"/>
    <w:pPr>
      <w:widowControl w:val="0"/>
      <w:autoSpaceDE w:val="0"/>
      <w:autoSpaceDN w:val="0"/>
      <w:adjustRightInd w:val="0"/>
    </w:pPr>
    <w:rPr>
      <w:rFonts w:hint="eastAsia" w:ascii="仿宋_GB2312" w:hAnsi="仿宋_GB2312" w:eastAsia="仿宋_GB2312" w:cs="Times New Roman"/>
      <w:color w:val="000000"/>
      <w:kern w:val="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2023-10-13T04:26:34Z</dcterms:created>
  <dc:creator>lenovo</dc:creator>
  <cp:lastModifiedBy>簡單のhappiness</cp:lastModifiedBy>
  <dcterms:modified xsi:type="dcterms:W3CDTF">2023-10-13T04:26:58Z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35934161D8344E75A139ADF821C75C39_12</vt:lpwstr>
  </property>
</Properties>
</file>