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关于吴川市2023年省民生实事农村生活污水治理项目--吴川市振文镇麦屋村生活污水治理工程项目</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关于吴川市2023年省民生实事农村生活污水治理项目--吴川市振文镇麦屋村生活污水治理工程项目</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吴川市振文镇人民政府</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吴川市振文镇人民政府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吴川市振文镇麦屋村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2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223.7</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省级涉农专项资金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420" w:lineRule="exact"/>
              <w:ind w:leftChars="0"/>
              <w:jc w:val="left"/>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t>(一)铺设污水管网工程，包括污水管道(DN500(HDPE)双壁波纹管)670.3米、污水管道(DN500聚乙烯PE管)386.62米、污水管道(DN300聚乙烯PE管)422.68米、预制污水检查井(φ1000，预制混凝土检查井)37座、截污井(1500</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1000混凝土检查井)1座</w:t>
            </w:r>
            <w:r>
              <w:rPr>
                <w:rFonts w:hint="eastAsia" w:ascii="仿宋" w:hAnsi="仿宋" w:eastAsia="仿宋" w:cs="仿宋"/>
                <w:b w:val="0"/>
                <w:bCs w:val="0"/>
                <w:sz w:val="28"/>
                <w:szCs w:val="28"/>
                <w:lang w:eastAsia="zh-CN"/>
              </w:rPr>
              <w:t>；</w:t>
            </w:r>
          </w:p>
          <w:p>
            <w:pPr>
              <w:pStyle w:val="2"/>
              <w:keepNext w:val="0"/>
              <w:keepLines w:val="0"/>
              <w:pageBreakBefore w:val="0"/>
              <w:widowControl w:val="0"/>
              <w:numPr>
                <w:numId w:val="0"/>
              </w:numPr>
              <w:kinsoku/>
              <w:wordWrap/>
              <w:overflowPunct/>
              <w:topLinePunct w:val="0"/>
              <w:autoSpaceDE/>
              <w:autoSpaceDN/>
              <w:bidi w:val="0"/>
              <w:adjustRightInd/>
              <w:snapToGrid/>
              <w:spacing w:line="420" w:lineRule="exact"/>
              <w:ind w:leftChars="0"/>
              <w:jc w:val="left"/>
              <w:textAlignment w:val="auto"/>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(二)建设一体化污水提升泵站1座，规格φ2.7</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H6.5米。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9</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2023-08-01T08:58:59Z</cp:lastPrinted>
  <dcterms:modified xsi:type="dcterms:W3CDTF">2023-08-01T08:59:41Z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