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before="312" w:beforeLines="100" w:line="600" w:lineRule="exact"/>
        <w:ind w:right="18" w:firstLine="0" w:firstLineChars="0"/>
        <w:jc w:val="center"/>
        <w:rPr>
          <w:rFonts w:ascii="方正小标宋简体" w:eastAsia="方正小标宋简体"/>
          <w:color w:val="FF0000"/>
          <w:spacing w:val="8"/>
          <w:w w:val="90"/>
          <w:sz w:val="84"/>
          <w:szCs w:val="84"/>
        </w:rPr>
      </w:pPr>
      <w:r>
        <w:rPr>
          <w:rFonts w:hint="eastAsia" w:ascii="方正小标宋简体" w:eastAsia="方正小标宋简体"/>
          <w:color w:val="FF0000"/>
          <w:spacing w:val="-40"/>
          <w:w w:val="90"/>
          <w:kern w:val="0"/>
          <w:sz w:val="84"/>
          <w:szCs w:val="84"/>
        </w:rPr>
        <w:t>吴川市文化广电旅游体育局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-448945</wp:posOffset>
                </wp:positionH>
                <wp:positionV relativeFrom="paragraph">
                  <wp:posOffset>174625</wp:posOffset>
                </wp:positionV>
                <wp:extent cx="6075045" cy="10795"/>
                <wp:effectExtent l="0" t="7620" r="1905" b="1016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5045" cy="10795"/>
                        </a:xfrm>
                        <a:prstGeom prst="line">
                          <a:avLst/>
                        </a:prstGeom>
                        <a:ln w="1524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35.35pt;margin-top:13.75pt;height:0.85pt;width:478.35pt;mso-position-horizontal-relative:margin;z-index:251661312;mso-width-relative:page;mso-height-relative:page;" filled="f" stroked="t" coordsize="21600,21600" o:gfxdata="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P9Shm2AAAAAkBAAAPAAAAAAAAAAEAIAAAACIAAABk&#10;cnMvZG93bnJldi54bWxQSwECFAAUAAAACACHTuJAeF4x/QYCAAABBAAADgAAAAAAAAABACAAAAAn&#10;AQAAZHJzL2Uyb0RvYy54bWxQSwUGAAAAAAYABgBZAQAAnwUAAAAA&#10;">
                <v:fill on="f" focussize="0,0"/>
                <v:stroke weight="1.2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方正小标宋简体" w:eastAsia="方正小标宋简体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-437515</wp:posOffset>
                </wp:positionH>
                <wp:positionV relativeFrom="paragraph">
                  <wp:posOffset>60325</wp:posOffset>
                </wp:positionV>
                <wp:extent cx="6044565" cy="6985"/>
                <wp:effectExtent l="0" t="17780" r="13335" b="3238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4565" cy="6985"/>
                        </a:xfrm>
                        <a:prstGeom prst="line">
                          <a:avLst/>
                        </a:prstGeom>
                        <a:ln w="3556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34.45pt;margin-top:4.75pt;height:0.55pt;width:475.95pt;mso-position-horizontal-relative:margin;z-index:251660288;mso-width-relative:page;mso-height-relative:page;" filled="f" stroked="t" coordsize="21600,21600" o:gfxdata="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14tGDWAAAACAEAAA8AAAAAAAAAAQAgAAAAIgAAAGRy&#10;cy9kb3ducmV2LnhtbFBLAQIUABQAAAAIAIdO4kAY8M2jBwIAAAAEAAAOAAAAAAAAAAEAIAAAACUB&#10;AABkcnMvZTJvRG9jLnhtbFBLBQYAAAAABgAGAFkBAACeBQAAAAA=&#10;">
                <v:fill on="f" focussize="0,0"/>
                <v:stroke weight="2.8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关于做好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2022年国庆假期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及党的二十大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前后全市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文化和旅游行业新冠肺炎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疫情防控工作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的通知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行业各单位，各景区：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为深入贯彻习近平总书记关于疫情防控的重要指示批示精神，落实党中央、国务院决策部署，做好2022年国庆假期及前后全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文化和旅游行业新冠肺炎疫情防控工作，按照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上级主管部门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有关工作要求，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现将有关情况通知如下：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一、总体要求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当前，国内本土疫情仍呈现多点散发、多地频发的态势，国庆假期临近，人员流动性增加，加大了疫情传播风险，防控形势严峻复杂。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全市文旅行业</w:t>
      </w:r>
      <w:r>
        <w:rPr>
          <w:rFonts w:hint="eastAsia" w:ascii="仿宋_GB2312" w:hAnsi="仿宋_GB2312" w:eastAsia="仿宋_GB2312" w:cs="仿宋_GB2312"/>
          <w:sz w:val="32"/>
          <w:szCs w:val="32"/>
        </w:rPr>
        <w:t>要按照国务院联防联控机制和省新冠肺炎防控指挥办统一部署，坚持“外防输入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内防反弹”总策略和“动态清零”总方针不动摇，全面落实第九版防控方案，落实“疫情要防住、经济要稳住、发展要安全”的要求，坚持科学精准从严从紧做好当前疫情防控，坚决防止疫情通过文化和旅游途径传播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二、防控措施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(一)加强游客观众疫情防控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落实个人防护措施。进入文旅场所和经营单位人员要严格落实测体温、扫码、戴口罩、保持“一米线”距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离</w:t>
      </w:r>
      <w:r>
        <w:rPr>
          <w:rFonts w:hint="eastAsia" w:ascii="仿宋_GB2312" w:hAnsi="仿宋_GB2312" w:eastAsia="仿宋_GB2312" w:cs="仿宋_GB2312"/>
          <w:sz w:val="32"/>
          <w:szCs w:val="32"/>
        </w:rPr>
        <w:t>等防控措施，保障游客和观众身体健康，确保相关信息可查询可追踪。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倡导落实核酸检测。严格落实国庆假期及前后防控要求，倡导自驾游、自由行、跨省流动的游客积极配合当地完成“落地检”。近7天内有疫情所在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地区</w:t>
      </w:r>
      <w:r>
        <w:rPr>
          <w:rFonts w:hint="eastAsia" w:ascii="仿宋_GB2312" w:hAnsi="仿宋_GB2312" w:eastAsia="仿宋_GB2312" w:cs="仿宋_GB2312"/>
          <w:sz w:val="32"/>
          <w:szCs w:val="32"/>
        </w:rPr>
        <w:t>旅居史的人员，需凭3天两检核酸检测(间隔24小时以上)阴性证明进入文旅场所和经营单位。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(二)加强团队旅游管理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强化旅游团队疫情防控。旅行社及在线旅游企业严格执行《旅行社新冠肺炎疫情防控工作指南(第四版)》要求，从严从紧、从细从实做好游客招徕、组织、接待等环节的疫情防控工作，严格控制旅游团队规模，不组织大型旅游团队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严格控制旅游包车载客率。不得经营中高风险地区所在县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(市、区)和疫情特别严重省份的跨省团队旅游及“机票+酒店”业务。组团出行必须落实“一团一报”制度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旅游目的地列为疫情中高风险等级时，未出发的旅游团队必须立即取消或更改旅游行程;导游上岗须持48小时内核酸检测阴性证明，按属地要求查验游客健康码、核酸检测阴性证明，全程提醒、要求游客落实防控各项措施;禁止旅行社、导游将私设“景点”“野景点”作为旅游产品予以销售或推荐，及时整治未严格落实管理要求的企业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(三)加强旅游景区疫情防控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强化进入景区人员管理。严格执行《旅游景区恢复开放疫情防控措施指南(2021年10月修订版)》。旅游景区要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根据“限量、预约、错峰”要求，动态调整防控策略，落实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门票实名制，强化提前网上预约，按不超过最大承载量的75%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实行限流。进入旅游景区人员要查验健康码和72小时内的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核酸检测阴性证明。严格落实景区内演艺等重点场所的防控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要求，强化对容易形成游客聚集的项目和场所人员分流，防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止游客瞬时聚集。景区内密闭场所减少举办聚集性活动。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全面彻底消杀场所。各类室内场所、物品和环境要加强消毒，特别是游客高频使用的设施设备，做到消毒全覆盖，不留死角空白，同时须配备足量免洗消毒液和一次性口罩供游客使用。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(四)加强密闭文旅场所疫情防控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共文化场馆、演出场馆、娱乐场所、上网服务场所、剧本娱乐经营场所等空间相对密闭、通风不良场所，严格执行《公共图书馆、文化馆(站)疫情防控措施指南(2021年11月修订版)》。执照“限量、预约、错峰”要求，强化 75%限流、场所清洁通风消毒、人员健康管理等防控措施，对进入公共文化场所人员严格落实扫码、测温、查验 72小时内核酸检测阴性证明等防控措施，提倡零接触、无现金支付。</w:t>
      </w:r>
    </w:p>
    <w:p>
      <w:pPr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(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五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)加强聚集性活动疫情防控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坚持非必要不举办、能线上不线下。近期原则上不安排大型会议、培训、会展、文艺演出等聚集性活动，暂停审批大型营业性文艺演出活动。确需举办的，从严审批，按照“谁审批、谁负责”“谁举办、谁负责”原则，制定疫情防控方案，尽量缩小规模，控制人流量，参加活动人员需扫码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登记、查验48小时内核酸检测阴性证明。对于已经审批的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确需举办的活动，要通过约谈、强化措施、加强指导检查等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方式，落实监管。</w:t>
      </w:r>
    </w:p>
    <w:p>
      <w:pPr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(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六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)加强从业人员疫情防控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加强从业人员健康管理。各类文旅场所和经营单位要加强对员工日常的健康监测和管理，及时掌握员工状态、出行轨迹等情况。从业人员上岗前严格落实健康码检查核验，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规范佩戴口罩，健康上岗、规范作业，一旦出现发热、咳嗽等疑似症状时，及时到附近定点医疗机构就诊，坚决杜绝带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病上岗。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强化从业人员核酸检测。与游客、观众直接接触或近距离接触的一线工作人员,一周内开展不少于2次核酸检测，其他工作人员每周开展一次核酸检测。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KTV</w:t>
      </w:r>
      <w:r>
        <w:rPr>
          <w:rFonts w:hint="eastAsia" w:ascii="仿宋_GB2312" w:hAnsi="仿宋_GB2312" w:eastAsia="仿宋_GB2312" w:cs="仿宋_GB2312"/>
          <w:sz w:val="32"/>
          <w:szCs w:val="32"/>
        </w:rPr>
        <w:t>等重点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场所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其他工作人员核酸检测频次，每2天开展一次核酸检测。重点领域一线工作人员核酸检测情况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于每周五上午下班前统计上报。</w:t>
      </w:r>
    </w:p>
    <w:p>
      <w:pPr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(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七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)加强应急培训演练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强化员工教育培训。加强文旅场所和经营单位疫情防控宣传培训和教育引导，完善应急预案，健全工作机制，强化应急演练，让员工熟练掌握疫情防控制度和防控措施要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求，提升应急响应水平和员工疫情防控意识、应急处置能力。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做好防控物资准备。按照第九版防控方案要求，文化和旅游领域重点场所和单位应配备足够的口罩、体温检测设备、洗手液、一次性手套、消毒用品等防疫物资。</w:t>
      </w:r>
    </w:p>
    <w:p>
      <w:pPr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(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八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)加强执法督导检查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落实检查巡查制度。采取明查和暗访相结合、日常常态化检查和关键时间节点重点检查相结合、省级重点抽查和市县全覆盖检查相结合等方式，深入基层、深入一线开展检查和督导，指导督促文化和旅游经营单位和场所落实好各项疫情防控措施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加大执法力度。要充分发挥文化市场综合行政执法机构力量，全面加强对各类文化和旅游经营单位的执法监督，整治违反疫情防疫政策行为，依法依规严厉查处未经许可擅自经营、超范围经营等行为。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(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九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)加强值班值守和应急处置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要严格落实24小时值班值守要求，压紧压实“四方责任”，确保常态化和应急状态无时差切换。动态精准掌握有关情况，发生突发事件或遇有紧急情况要立即汇报，第一时间启动预案，落实各项应对处置措施，确保遇到突发情况时反应迅速、处置有力。落实“四早”要求，提高基层一线文旅领域监测系统的警惕性和敏感性。自本文下发之日起，全部激活应急指挥体系，发现1例及以上感染者，立即启动响应。建立文化和旅游行业疫情日报告制度，要将本行业疫情发生情况逐级上报至省文化和旅游厅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要统筹做好疫情防控及文化和旅游活动开展，严格落实疫情防控“九不准”要求，密切关注国庆假期及前后疫情防控有关的社情、民情、舆情，及时回应社会关注。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吴川市文化广电旅游体育局</w:t>
      </w:r>
    </w:p>
    <w:p>
      <w:pPr>
        <w:wordWrap w:val="0"/>
        <w:ind w:firstLine="640" w:firstLineChars="20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2022年9月28日 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lYjk3NmM3NWI3YWQwNmEwMDBkZTAzNDM4ODgzNjIifQ=="/>
  </w:docVars>
  <w:rsids>
    <w:rsidRoot w:val="62ED0D77"/>
    <w:rsid w:val="3DE15DEC"/>
    <w:rsid w:val="41756087"/>
    <w:rsid w:val="5E280F21"/>
    <w:rsid w:val="609D1752"/>
    <w:rsid w:val="62522A10"/>
    <w:rsid w:val="62ED0D77"/>
    <w:rsid w:val="65431F68"/>
    <w:rsid w:val="6AD22940"/>
    <w:rsid w:val="6F9950B8"/>
    <w:rsid w:val="71453E6C"/>
    <w:rsid w:val="73A34051"/>
    <w:rsid w:val="7605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eastAsia="仿宋_GB2312"/>
      <w:sz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2763</Words>
  <Characters>2801</Characters>
  <Lines>0</Lines>
  <Paragraphs>0</Paragraphs>
  <TotalTime>2</TotalTime>
  <ScaleCrop>false</ScaleCrop>
  <LinksUpToDate>false</LinksUpToDate>
  <CharactersWithSpaces>2807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2022-09-30T08:44:00Z</dcterms:created>
  <dc:creator>小苏</dc:creator>
  <cp:lastModifiedBy>Administrator</cp:lastModifiedBy>
  <cp:lastPrinted>2022-09-30T09:31:00Z</cp:lastPrinted>
  <dcterms:modified xsi:type="dcterms:W3CDTF">2022-09-30T10:09:25Z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1025D3CAA59C4CC6ADEF932847F38EE2</vt:lpwstr>
  </property>
</Properties>
</file>